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header7.xml" ContentType="application/vnd.openxmlformats-officedocument.wordprocessingml.header+xml"/>
  <Override PartName="/word/media/image1.jpeg" ContentType="image/jpeg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оказание услуг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i/>
          <w:i/>
          <w:sz w:val="24"/>
          <w:szCs w:val="24"/>
        </w:rPr>
      </w:pPr>
      <w:r>
        <w:rPr>
          <w:rFonts w:eastAsia="Calibri"/>
          <w:sz w:val="24"/>
          <w:szCs w:val="24"/>
        </w:rPr>
        <w:t>ОКПД 2: 33.12.15.000 Оказание услуг по техническому обслуживанию приборов безопасности грузоподъёмных сооружений Филиала ПАО «РусГидро»-«Кабардино-Балкарский филиал  для нужд Северо-Кавказского филиала»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Toc54643694">
            <w:r>
              <w:rPr>
                <w:webHidden/>
                <w:rStyle w:val="Style14"/>
                <w:vanish w:val="false"/>
              </w:rPr>
              <w:t>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4"/>
              </w:rPr>
              <w:t>Общие сведения</w:t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_Toc54643694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left" w:pos="560" w:leader="none"/>
              <w:tab w:val="left" w:pos="1120" w:leader="none"/>
              <w:tab w:val="right" w:pos="9911" w:leader="none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hyperlink w:anchor="_Toc54643695">
            <w:r>
              <w:rPr>
                <w:webHidden/>
                <w:rStyle w:val="Style14"/>
                <w:iCs/>
                <w:vanish w:val="false"/>
                <w:sz w:val="24"/>
                <w:szCs w:val="24"/>
              </w:rPr>
              <w:t>1.1.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  <w:sz w:val="24"/>
                <w:szCs w:val="24"/>
              </w:rPr>
              <w:t>Обозначения и сокращения………………………………………………………….…………….……………...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_Toc54643695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  <w:sz w:val="24"/>
                <w:szCs w:val="24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left" w:pos="560" w:leader="none"/>
              <w:tab w:val="left" w:pos="1120" w:leader="none"/>
              <w:tab w:val="right" w:pos="9911" w:leader="none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hyperlink w:anchor="_Toc54643696">
            <w:r>
              <w:rPr>
                <w:webHidden/>
                <w:rStyle w:val="Style14"/>
                <w:iCs/>
                <w:vanish w:val="false"/>
                <w:sz w:val="24"/>
                <w:szCs w:val="24"/>
              </w:rPr>
              <w:t>1.2.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  <w:sz w:val="24"/>
                <w:szCs w:val="24"/>
              </w:rPr>
              <w:t>Наименование закупаемой продукции………………………………………………………..……………………….………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_Toc54643696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  <w:sz w:val="24"/>
                <w:szCs w:val="24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left" w:pos="560" w:leader="none"/>
              <w:tab w:val="left" w:pos="1120" w:leader="none"/>
              <w:tab w:val="right" w:pos="9911" w:leader="none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hyperlink w:anchor="_Toc54643697">
            <w:r>
              <w:rPr>
                <w:webHidden/>
                <w:rStyle w:val="Style14"/>
                <w:iCs/>
                <w:vanish w:val="false"/>
                <w:sz w:val="24"/>
                <w:szCs w:val="24"/>
              </w:rPr>
              <w:t>1.3.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_Toc54643697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sz w:val="24"/>
                <w:szCs w:val="24"/>
              </w:rPr>
              <w:t>Цель оказания услуг..……………………………………………………………….……..3</w:t>
              <w:tab/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hyperlink w:anchor="_Toc54643702">
            <w:r>
              <w:rPr>
                <w:webHidden/>
                <w:rStyle w:val="Style14"/>
                <w:vanish w:val="false"/>
              </w:rPr>
              <w:t>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4"/>
                <w:iCs/>
              </w:rPr>
              <w:t>Требования к услугам</w:t>
            </w:r>
            <w:r>
              <w:rPr>
                <w:rStyle w:val="Style14"/>
              </w:rPr>
              <w:t>………………………………………………………….………………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_Toc54643702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left" w:pos="560" w:leader="none"/>
              <w:tab w:val="left" w:pos="1120" w:leader="none"/>
              <w:tab w:val="right" w:pos="9911" w:leader="none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hyperlink w:anchor="_Toc54643703">
            <w:r>
              <w:rPr>
                <w:webHidden/>
                <w:rStyle w:val="Style14"/>
                <w:iCs/>
                <w:vanish w:val="false"/>
                <w:sz w:val="24"/>
                <w:szCs w:val="24"/>
              </w:rPr>
              <w:t>2.1.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  <w:sz w:val="24"/>
                <w:szCs w:val="24"/>
              </w:rPr>
              <w:t>Требования к объемам и срокам оказания услуг……………..…………………………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_Toc54643703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  <w:sz w:val="24"/>
                <w:szCs w:val="24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560" w:leader="none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rPr>
              <w:sz w:val="24"/>
              <w:szCs w:val="24"/>
            </w:rPr>
            <w:t xml:space="preserve">      </w:t>
          </w:r>
          <w:hyperlink w:anchor="_Toc54643704">
            <w:r>
              <w:rPr>
                <w:webHidden/>
                <w:rStyle w:val="Style14"/>
                <w:vanish w:val="false"/>
                <w:sz w:val="24"/>
                <w:szCs w:val="24"/>
              </w:rPr>
              <w:t>2.1.1</w:t>
            </w:r>
            <w:r>
              <w:rPr>
                <w:rStyle w:val="Style14"/>
                <w:sz w:val="24"/>
                <w:szCs w:val="24"/>
              </w:rPr>
              <w:t>Требования к перечню и объему услуг………………………..…………………………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_Toc54643704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  <w:sz w:val="24"/>
                <w:szCs w:val="24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hyperlink w:anchor="_Toc5464370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_Toc54643705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1. Перечень и объем оказываемых услуг……………………………………………….3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560" w:leader="none"/>
              <w:tab w:val="left" w:pos="112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rPr>
              <w:sz w:val="24"/>
              <w:szCs w:val="24"/>
            </w:rPr>
            <w:t xml:space="preserve">      </w:t>
          </w:r>
          <w:hyperlink w:anchor="_Toc54643706">
            <w:r>
              <w:rPr>
                <w:webHidden/>
                <w:rStyle w:val="Style14"/>
                <w:vanish w:val="false"/>
                <w:sz w:val="24"/>
                <w:szCs w:val="24"/>
              </w:rPr>
              <w:t>2.1.2.</w:t>
            </w:r>
            <w:r>
              <w:rPr>
                <w:rStyle w:val="Style14"/>
                <w:sz w:val="24"/>
                <w:szCs w:val="24"/>
              </w:rPr>
              <w:t xml:space="preserve"> Требования к срокам оказания услуг……………………………….…………………...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_Toc54643706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  <w:sz w:val="24"/>
                <w:szCs w:val="24"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hyperlink w:anchor="_Toc5464370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_Toc54643707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2. Требования к срокам оказания услуг</w:t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left" w:pos="560" w:leader="none"/>
              <w:tab w:val="left" w:pos="1120" w:leader="none"/>
              <w:tab w:val="right" w:pos="9911" w:leader="none"/>
            </w:tabs>
            <w:rPr>
              <w:rFonts w:ascii="Calibri" w:hAnsi="Calibri" w:eastAsia="新細明體" w:cs="Arial" w:asciiTheme="minorHAnsi" w:cstheme="minorBidi" w:eastAsiaTheme="minorEastAsia" w:hAnsiTheme="minorHAnsi"/>
              <w:sz w:val="24"/>
              <w:szCs w:val="24"/>
            </w:rPr>
          </w:pPr>
          <w:r>
            <w:rPr>
              <w:sz w:val="24"/>
              <w:szCs w:val="24"/>
            </w:rPr>
            <w:t xml:space="preserve"> </w:t>
          </w:r>
          <w:hyperlink w:anchor="_Toc54643708">
            <w:r>
              <w:rPr>
                <w:webHidden/>
                <w:rStyle w:val="Style14"/>
                <w:iCs/>
                <w:vanish w:val="false"/>
                <w:sz w:val="24"/>
                <w:szCs w:val="24"/>
              </w:rPr>
              <w:t>2.2.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sz w:val="24"/>
                <w:szCs w:val="24"/>
              </w:rPr>
              <w:tab/>
            </w:r>
            <w:r>
              <w:rPr>
                <w:rStyle w:val="Style14"/>
                <w:sz w:val="24"/>
                <w:szCs w:val="24"/>
              </w:rPr>
              <w:t>Требования к качеству услуг……………...………………………………………………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_Toc54643708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vanish w:val="false"/>
                <w:sz w:val="24"/>
                <w:szCs w:val="24"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hyperlink w:anchor="_Toc5464370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_Toc54643709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 3. Требования к качеству услуг</w:t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hyperlink w:anchor="_Toc54643710">
            <w:r>
              <w:rPr>
                <w:webHidden/>
                <w:rStyle w:val="Style14"/>
                <w:vanish w:val="false"/>
              </w:rPr>
              <w:t>3.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4"/>
              </w:rPr>
              <w:t>Требования к документации по ценообразованию на этапе закупки</w:t>
            </w:r>
            <w:r>
              <w:rPr>
                <w:rStyle w:val="Style14"/>
                <w:vanish w:val="false"/>
              </w:rPr>
              <w:t>………………….1</w:t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新細明體" w:cs="Arial" w:asciiTheme="minorHAnsi" w:cstheme="minorBidi" w:eastAsiaTheme="minorEastAsia" w:hAnsiTheme="minorHAnsi"/>
              <w:b w:val="false"/>
              <w:bCs w:val="false"/>
            </w:rPr>
          </w:pPr>
          <w:hyperlink w:anchor="_Toc54643712">
            <w:r>
              <w:rPr>
                <w:webHidden/>
                <w:rStyle w:val="Style14"/>
                <w:vanish w:val="false"/>
              </w:rPr>
              <w:t>4.</w:t>
            </w:r>
            <w:r>
              <w:rPr>
                <w:rStyle w:val="Style14"/>
                <w:rFonts w:eastAsia="新細明體" w:cs="Arial" w:ascii="Calibri" w:hAnsi="Calibri" w:asciiTheme="minorHAnsi" w:cstheme="minorBidi" w:eastAsiaTheme="minorEastAsia" w:hAnsiTheme="minorHAnsi"/>
                <w:b w:val="false"/>
                <w:bCs w:val="false"/>
              </w:rPr>
              <w:tab/>
            </w:r>
            <w:r>
              <w:rPr>
                <w:rStyle w:val="Style14"/>
                <w:iCs/>
              </w:rPr>
              <w:t>Приложения</w:t>
            </w:r>
            <w:r>
              <w:rPr>
                <w:rStyle w:val="Style14"/>
              </w:rPr>
              <w:tab/>
            </w:r>
          </w:hyperlink>
          <w:r>
            <w:rPr>
              <w:rStyle w:val="Style14"/>
              <w:b w:val="false"/>
            </w:rPr>
            <w:t>15</w:t>
          </w:r>
          <w:r>
            <w:rPr>
              <w:rStyle w:val="Style14"/>
              <w:b w:val="false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Cs w:val="false"/>
        </w:rPr>
      </w:pPr>
      <w:r>
        <w:rPr>
          <w:rFonts w:eastAsia="新細明體" w:cs="Arial" w:cstheme="minorBidi" w:eastAsiaTheme="minorEastAsia" w:ascii="Calibri" w:hAnsi="Calibri"/>
          <w:b w:val="false"/>
          <w:bCs w:val="false"/>
        </w:rPr>
      </w:r>
    </w:p>
    <w:p>
      <w:pPr>
        <w:pStyle w:val="Heading2"/>
        <w:numPr>
          <w:ilvl w:val="0"/>
        </w:numPr>
        <w:tabs>
          <w:tab w:val="clear" w:pos="0"/>
        </w:tabs>
        <w:ind w:hanging="0" w:left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hanging="357" w:left="357"/>
        <w:jc w:val="center"/>
        <w:rPr>
          <w:caps/>
          <w:sz w:val="24"/>
          <w:szCs w:val="24"/>
          <w:lang w:val="ru-RU"/>
        </w:rPr>
      </w:pPr>
      <w:bookmarkStart w:id="0" w:name="_Toc54643694"/>
      <w:r>
        <w:rPr>
          <w:sz w:val="24"/>
          <w:szCs w:val="24"/>
          <w:lang w:val="ru-RU"/>
        </w:rPr>
        <w:t>Общие сведения</w:t>
      </w:r>
      <w:bookmarkEnd w:id="0"/>
    </w:p>
    <w:p>
      <w:pPr>
        <w:pStyle w:val="Heading4"/>
        <w:numPr>
          <w:ilvl w:val="1"/>
          <w:numId w:val="3"/>
        </w:numPr>
        <w:rPr/>
      </w:pPr>
      <w:bookmarkStart w:id="1" w:name="_Toc54643695"/>
      <w:bookmarkStart w:id="2" w:name="_Toc46743505"/>
      <w:r>
        <w:rPr/>
        <w:t>Обозначения и сокращения</w:t>
      </w:r>
      <w:bookmarkEnd w:id="1"/>
      <w:bookmarkEnd w:id="2"/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trHeight w:val="358" w:hRule="atLeast"/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 предприятия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Руководящий документ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стандарт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ОПО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Опасный производственный объект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ПБ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Промышленная безопасность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Подъемное сооружение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ФНП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нормы и правила в области промышленной безопасности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ЭПБ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Экспертиза промышленной безопасности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Нормативно-технический документ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ВППБ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Ведомственные правила пожарной безопасности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center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‍</w:t>
            </w:r>
            <w:r>
              <w:rPr>
                <w:sz w:val="24"/>
                <w:szCs w:val="24"/>
              </w:rPr>
              <w:t>РТН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 служба по экологическому, технологическому и атомному надзору (Ростехнадзор)</w:t>
            </w:r>
          </w:p>
        </w:tc>
      </w:tr>
    </w:tbl>
    <w:p>
      <w:pPr>
        <w:pStyle w:val="Heading4"/>
        <w:numPr>
          <w:ilvl w:val="1"/>
          <w:numId w:val="3"/>
        </w:numPr>
        <w:rPr/>
      </w:pPr>
      <w:bookmarkStart w:id="3" w:name="_Toc54643696"/>
      <w:bookmarkStart w:id="4" w:name="_Toc46743506"/>
      <w:r>
        <w:rPr/>
        <w:t>Наименование закупаемой продукции</w:t>
      </w:r>
      <w:bookmarkEnd w:id="3"/>
      <w:bookmarkEnd w:id="4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bCs/>
          <w:sz w:val="24"/>
          <w:szCs w:val="24"/>
        </w:rPr>
      </w:pPr>
      <w:r>
        <w:rPr>
          <w:rFonts w:eastAsia="Calibri"/>
          <w:sz w:val="24"/>
          <w:szCs w:val="24"/>
          <w:lang w:eastAsia="x-none"/>
        </w:rPr>
        <w:t>ОКПД 2: 33.12.15.000 «Оказание услуг по техническому обслуживанию приборов безопасности грузоподъёмных сооружений Филиала ПАО «РусГидро»-«Кабардино-Балкарский филиал» для нужд Северо-Кавказского филиала»</w:t>
      </w:r>
    </w:p>
    <w:p>
      <w:pPr>
        <w:pStyle w:val="Heading4"/>
        <w:numPr>
          <w:ilvl w:val="1"/>
          <w:numId w:val="3"/>
        </w:numPr>
        <w:spacing w:before="240" w:after="60"/>
        <w:ind w:hanging="431" w:left="431"/>
        <w:rPr/>
      </w:pPr>
      <w:bookmarkStart w:id="5" w:name="_Toc54643697"/>
      <w:bookmarkStart w:id="6" w:name="_Toc46743507"/>
      <w:r>
        <w:rPr/>
        <w:t xml:space="preserve">Цель </w:t>
      </w:r>
      <w:bookmarkEnd w:id="6"/>
      <w:r>
        <w:rPr>
          <w:lang w:val="ru-RU"/>
        </w:rPr>
        <w:t>оказания услуг</w:t>
      </w:r>
      <w:r>
        <w:rPr/>
        <w:t xml:space="preserve"> </w:t>
      </w:r>
      <w:bookmarkEnd w:id="5"/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Исполнение Договора возмездного оказания услуг № 1170-286-2025 от 25.12.2025 г. Оказание услуг по эксплуатации подъёмных сооружений филиала ПАО «РусГидро» «Кабардино-Балкарский филиал», заключенного между ПАО «РусГидро» «Кабардино-Балкарский филиал» и Северо-Кавказским филиалом АО «Гидроремонт-ВКК» в с. Заюково</w:t>
      </w:r>
      <w:bookmarkStart w:id="7" w:name="_Toc54643699"/>
      <w:bookmarkEnd w:id="7"/>
    </w:p>
    <w:p>
      <w:pPr>
        <w:pStyle w:val="Heading1"/>
        <w:keepLines/>
        <w:numPr>
          <w:ilvl w:val="0"/>
          <w:numId w:val="3"/>
        </w:numPr>
        <w:ind w:hanging="357" w:left="357"/>
        <w:jc w:val="center"/>
        <w:rPr>
          <w:iCs/>
          <w:caps/>
          <w:sz w:val="24"/>
          <w:szCs w:val="24"/>
          <w:lang w:val="ru-RU"/>
        </w:rPr>
      </w:pPr>
      <w:bookmarkStart w:id="8" w:name="_Toc51339693"/>
      <w:bookmarkStart w:id="9" w:name="_Toc54643702"/>
      <w:r>
        <w:rPr>
          <w:iCs/>
          <w:sz w:val="24"/>
          <w:szCs w:val="24"/>
          <w:lang w:val="ru-RU"/>
        </w:rPr>
        <w:t>Требования</w:t>
      </w:r>
      <w:r>
        <w:rPr>
          <w:iCs/>
          <w:sz w:val="24"/>
          <w:szCs w:val="24"/>
        </w:rPr>
        <w:t xml:space="preserve"> к </w:t>
      </w:r>
      <w:bookmarkEnd w:id="8"/>
      <w:bookmarkEnd w:id="9"/>
      <w:r>
        <w:rPr>
          <w:iCs/>
          <w:sz w:val="24"/>
          <w:szCs w:val="24"/>
          <w:lang w:val="ru-RU"/>
        </w:rPr>
        <w:t>услугам</w:t>
      </w:r>
    </w:p>
    <w:p>
      <w:pPr>
        <w:pStyle w:val="Heading4"/>
        <w:numPr>
          <w:ilvl w:val="1"/>
          <w:numId w:val="3"/>
        </w:numPr>
        <w:rPr/>
      </w:pPr>
      <w:bookmarkStart w:id="10" w:name="_Toc54643703"/>
      <w:r>
        <w:rPr/>
        <w:t xml:space="preserve">Требования к объемам и срокам </w:t>
      </w:r>
      <w:r>
        <w:rPr>
          <w:lang w:val="ru-RU"/>
        </w:rPr>
        <w:t>оказания услуг</w:t>
      </w:r>
      <w:bookmarkEnd w:id="10"/>
    </w:p>
    <w:p>
      <w:pPr>
        <w:pStyle w:val="Heading3"/>
        <w:numPr>
          <w:ilvl w:val="2"/>
          <w:numId w:val="3"/>
        </w:numPr>
        <w:rPr/>
      </w:pPr>
      <w:bookmarkStart w:id="11" w:name="_Toc54643704"/>
      <w:r>
        <w:rPr>
          <w:lang w:val="ru-RU"/>
        </w:rPr>
        <w:t>Требования к перечню и объему услуг</w:t>
      </w:r>
      <w:bookmarkEnd w:id="11"/>
    </w:p>
    <w:p>
      <w:pPr>
        <w:pStyle w:val="Heading1"/>
        <w:keepLines/>
        <w:numPr>
          <w:ilvl w:val="0"/>
          <w:numId w:val="0"/>
        </w:numPr>
        <w:spacing w:before="240" w:after="60"/>
        <w:ind w:hanging="0" w:left="0"/>
        <w:rPr>
          <w:sz w:val="24"/>
          <w:szCs w:val="24"/>
          <w:lang w:val="ru-RU"/>
        </w:rPr>
      </w:pPr>
      <w:bookmarkStart w:id="12" w:name="_Toc54643705"/>
      <w:bookmarkStart w:id="13" w:name="_Toc51339695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3"/>
      <w:r>
        <w:rPr>
          <w:sz w:val="24"/>
          <w:szCs w:val="24"/>
          <w:lang w:val="ru-RU"/>
        </w:rPr>
        <w:t>и объем оказываемых услуг</w:t>
      </w:r>
      <w:bookmarkEnd w:id="12"/>
    </w:p>
    <w:tbl>
      <w:tblPr>
        <w:tblW w:w="981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49"/>
        <w:gridCol w:w="4849"/>
        <w:gridCol w:w="1989"/>
        <w:gridCol w:w="2122"/>
      </w:tblGrid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 2: 33.12.15.000 Оказание услуг по техническому обслуживанию приборов безопасности грузоподъёмных сооружений Филиала ПАО "РусГидро"-"Кабардино-Балкарский филиал" для нужд Северо-Кавказского филиала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color w:val="2C2D2E"/>
                <w:sz w:val="24"/>
                <w:szCs w:val="24"/>
              </w:rPr>
              <w:t>(в соответствии с перечнем приборов безопасности)*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условная единица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>
      <w:pPr>
        <w:pStyle w:val="Normal"/>
        <w:ind w:left="5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57"/>
        <w:jc w:val="both"/>
        <w:rPr>
          <w:sz w:val="24"/>
          <w:szCs w:val="24"/>
        </w:rPr>
      </w:pPr>
      <w:r>
        <w:rPr>
          <w:sz w:val="24"/>
          <w:szCs w:val="24"/>
        </w:rPr>
        <w:t>*Перечень подъемных сооружений, подлежащих техническому обслуживанию приборов безопасности:</w:t>
      </w:r>
    </w:p>
    <w:p>
      <w:pPr>
        <w:pStyle w:val="Normal"/>
        <w:ind w:left="57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155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VBand="1" w:noHBand="0" w:lastColumn="0" w:firstColumn="1" w:lastRow="0" w:firstRow="1"/>
      </w:tblPr>
      <w:tblGrid>
        <w:gridCol w:w="447"/>
        <w:gridCol w:w="3407"/>
        <w:gridCol w:w="1425"/>
        <w:gridCol w:w="1305"/>
        <w:gridCol w:w="1354"/>
        <w:gridCol w:w="2216"/>
      </w:tblGrid>
      <w:tr>
        <w:trPr/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 услуг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ПС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Заводской номер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объекта (</w:t>
            </w:r>
            <w:r>
              <w:rPr>
                <w:i/>
                <w:iCs/>
                <w:sz w:val="24"/>
                <w:szCs w:val="24"/>
              </w:rPr>
              <w:t>место оказания услуг</w:t>
            </w:r>
            <w:r>
              <w:rPr>
                <w:sz w:val="24"/>
                <w:szCs w:val="24"/>
              </w:rPr>
              <w:t>)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обслуживание приборов безопасности крана козлового с регистратором параметров ОГШ-2.10Ц г/п   2х50 Кашхатау ГЭС</w:t>
            </w:r>
          </w:p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1170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27753-п</w:t>
            </w:r>
          </w:p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Россия, Кабардино-Балкарская Республика, Черекский район, в 4км. От пгт Кашхатау по направлению на юго-запад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обслуживание приборов безопасности крана козлового с регистратором параметров ОГШ-2.10Ц</w:t>
            </w:r>
          </w:p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г/п 2х50/2х10 Кашхатау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5084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41209-п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Россия, Кабардино-Балкарская Республика, Черекский район, в 4км. От пгт Кашхатау по направлению на юго-запад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обслуживание приборов безопасности крана мостового </w:t>
            </w:r>
            <w:r>
              <w:rPr>
                <w:color w:val="000000"/>
                <w:sz w:val="24"/>
                <w:szCs w:val="24"/>
                <w:shd w:fill="FFFFFF" w:val="clear"/>
              </w:rPr>
              <w:t>с ограничителем грузоподъемности ОНК-М.10а</w:t>
            </w:r>
          </w:p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г/п 100/20 Кашхатау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140032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43619-п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新細明體" w:eastAsiaTheme="minorEastAsia"/>
                <w:color w:val="000000"/>
                <w:sz w:val="24"/>
                <w:szCs w:val="24"/>
              </w:rPr>
              <w:t>Россия, Кабардино-Балкарская Республика, Черекский район, в 4км. От пгт Кашхатау по направлению на юго-запад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 xml:space="preserve">Техническое обслуживание приборов безопасности крана мостового </w:t>
            </w:r>
            <w:r>
              <w:rPr>
                <w:color w:val="000000"/>
                <w:sz w:val="24"/>
                <w:szCs w:val="24"/>
                <w:shd w:fill="FFFFFF" w:val="clear"/>
              </w:rPr>
              <w:t xml:space="preserve"> с ограничителем грузоподъемности ВУ-150М (FF4601-2DN) ограничителями передвижения ПП-741</w:t>
            </w:r>
            <w:r>
              <w:rPr>
                <w:sz w:val="24"/>
                <w:szCs w:val="24"/>
                <w:shd w:fill="FFFFFF" w:val="clear"/>
              </w:rPr>
              <w:t xml:space="preserve"> г/п 20/5 Кашхатау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1712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45009-п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Россия, Кабардино-Балкарская Республика, Черекский район, в 4км. От пгт Кашхатау по направлению на юго-запад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 xml:space="preserve">Техническое обслуживание приборов безопасности крана мостового </w:t>
            </w:r>
            <w:r>
              <w:rPr>
                <w:color w:val="000000"/>
                <w:sz w:val="24"/>
                <w:szCs w:val="24"/>
                <w:shd w:fill="FFFFFF" w:val="clear"/>
              </w:rPr>
              <w:t>ОНК-М.10а</w:t>
            </w:r>
          </w:p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sz w:val="24"/>
                <w:szCs w:val="24"/>
                <w:shd w:fill="FFFFFF" w:val="clear"/>
              </w:rPr>
              <w:t>г/п 100/20 Аушигерской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Россия, Кабардино-Балкарская Республика, Черекский район, участок в 200м. от Жемталинского моста по направлению на север вдоль р. Черек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Техническое обслуживание приборов безопасности крана мостового с ограничителем грузоподъемности ВУ-150М и ограничителями передвижения ПП-741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fill="FFFFFF" w:val="clear"/>
              </w:rPr>
              <w:t>г/п 20/5 Аушигерской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Россия, Кабардино-Балкарская Республика, Черекский район, участок в 200м. от Жемталинского моста по направлению на север вдоль р. Черек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Техническое обслуживание приборов безопасности крана мостового с регистратором параметров ОГШ-2.10И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fill="FFFFFF" w:val="clear"/>
              </w:rPr>
              <w:t>г/п 50/12,5 Баксанской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Россия, Кабардино-Балкарская Республика, Баксанский район, с. Атажукино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 xml:space="preserve">Техническое обслуживание приборов безопасности крана козлового с регистратором параметров </w:t>
            </w:r>
            <w:r>
              <w:rPr>
                <w:color w:val="000000"/>
                <w:sz w:val="24"/>
                <w:szCs w:val="24"/>
                <w:shd w:fill="FFFFFF" w:val="clear"/>
              </w:rPr>
              <w:t>П</w:t>
            </w:r>
            <w:r>
              <w:rPr>
                <w:color w:val="000000"/>
                <w:sz w:val="24"/>
                <w:szCs w:val="24"/>
              </w:rPr>
              <w:t xml:space="preserve">БМ-2.3.2 </w:t>
            </w:r>
            <w:r>
              <w:rPr>
                <w:sz w:val="24"/>
                <w:szCs w:val="24"/>
                <w:shd w:fill="FFFFFF" w:val="clear"/>
              </w:rPr>
              <w:t>г/п 2х8/5 Баксанской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Россия, Кабардино-Балкарская Республика, Баксанский район, с. Атажукино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Техническое обслуживание приборов безопасности крана мостового с регистратором параметров ОГШ-2.7Ц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fill="FFFFFF" w:val="clear"/>
              </w:rPr>
              <w:t>г/п 63/25 Зарагижской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Россия, Кабардино-Балкарская Республика, территория Черекского и Урванского районов, вблизи с. Зарагиж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Техническое обслуживание приборов безопасности крана мостового с ограничителем грузоподъемности НОТ25М2, НОТ50М4 и ограничителями передвижения FCR002, КУ701А-У2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fill="FFFFFF" w:val="clear"/>
              </w:rPr>
              <w:t>г/п 20/5 Зарагижской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Россия, Кабардино-Балкарская Республика, территория Черекского и Урванского районов, вблизи с. Зарагиж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Техническое обслуживание приборов безопасности крана мостового с регистратором параметров Альфа-М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fill="FFFFFF" w:val="clear"/>
              </w:rPr>
              <w:t>г/п 63/16 Черекской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 xml:space="preserve">Россия, Кабардино-Балкарская Республика, </w:t>
            </w:r>
            <w:r>
              <w:rPr>
                <w:rStyle w:val="Strong"/>
                <w:b w:val="false"/>
                <w:color w:val="333333"/>
                <w:sz w:val="24"/>
                <w:szCs w:val="24"/>
              </w:rPr>
              <w:t>Урванский район, река Черек, близ села Псыгансу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Техническое обслуживание приборов безопасности крана козлового с регистратором параметров Альфа-М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fill="FFFFFF" w:val="clear"/>
              </w:rPr>
              <w:t>г/п 12,5 Черекской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 xml:space="preserve">Россия, Кабардино-Балкарская Республика, </w:t>
            </w:r>
            <w:r>
              <w:rPr>
                <w:rStyle w:val="Strong"/>
                <w:b w:val="false"/>
                <w:color w:val="333333"/>
                <w:sz w:val="24"/>
                <w:szCs w:val="24"/>
              </w:rPr>
              <w:t>Урванский район, река Черек, близ села Псыгансу</w:t>
            </w:r>
          </w:p>
        </w:tc>
      </w:tr>
      <w:tr>
        <w:trPr/>
        <w:tc>
          <w:tcPr>
            <w:tcW w:w="44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tLeast" w:line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 xml:space="preserve">Техническое обслуживание приборов безопасности крана мостового с регистратором параметров </w:t>
            </w:r>
            <w:r>
              <w:rPr>
                <w:color w:val="000000"/>
                <w:sz w:val="24"/>
                <w:szCs w:val="24"/>
                <w:shd w:fill="FFFFFF" w:val="clear"/>
              </w:rPr>
              <w:t>П</w:t>
            </w:r>
            <w:r>
              <w:rPr>
                <w:color w:val="000000"/>
                <w:sz w:val="24"/>
                <w:szCs w:val="24"/>
              </w:rPr>
              <w:t xml:space="preserve">БМ-2.2.1 </w:t>
            </w:r>
            <w:r>
              <w:rPr>
                <w:sz w:val="24"/>
                <w:szCs w:val="24"/>
                <w:shd w:fill="FFFFFF" w:val="clear"/>
              </w:rPr>
              <w:t>г/п 32/5 Верхнебалкарской ГЭС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Россия, Кабардино-Балкарская Республика, Черекский район, 2-8 км выше по течению от с.п. Верхняя Балкария</w:t>
            </w:r>
          </w:p>
        </w:tc>
      </w:tr>
    </w:tbl>
    <w:p>
      <w:pPr>
        <w:pStyle w:val="Heading3"/>
        <w:numPr>
          <w:ilvl w:val="0"/>
          <w:numId w:val="0"/>
        </w:numPr>
        <w:ind w:hanging="0" w:left="1224"/>
        <w:rPr>
          <w:lang w:val="ru-RU"/>
        </w:rPr>
      </w:pPr>
      <w:r>
        <w:rPr>
          <w:lang w:val="ru-RU"/>
        </w:rPr>
      </w:r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14" w:name="_Toc54643706"/>
      <w:bookmarkStart w:id="15" w:name="_Toc51339696"/>
      <w:r>
        <w:rPr>
          <w:lang w:val="ru-RU"/>
        </w:rPr>
        <w:t xml:space="preserve">Требования </w:t>
      </w:r>
      <w:bookmarkEnd w:id="15"/>
      <w:r>
        <w:rPr>
          <w:lang w:val="ru-RU"/>
        </w:rPr>
        <w:t>к срокам оказания услуг</w:t>
      </w:r>
      <w:bookmarkEnd w:id="14"/>
    </w:p>
    <w:p>
      <w:pPr>
        <w:pStyle w:val="Heading1"/>
        <w:keepLines/>
        <w:numPr>
          <w:ilvl w:val="0"/>
          <w:numId w:val="0"/>
        </w:numPr>
        <w:spacing w:before="240" w:after="60"/>
        <w:ind w:hanging="0" w:left="0"/>
        <w:rPr>
          <w:sz w:val="24"/>
          <w:szCs w:val="24"/>
          <w:lang w:val="ru-RU"/>
        </w:rPr>
      </w:pPr>
      <w:bookmarkStart w:id="16" w:name="_Toc54643707"/>
      <w:bookmarkStart w:id="17" w:name="_Toc50125127"/>
      <w:bookmarkStart w:id="18" w:name="_Toc5133969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</w:t>
      </w:r>
      <w:bookmarkStart w:id="19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17"/>
      <w:bookmarkEnd w:id="18"/>
      <w:bookmarkEnd w:id="19"/>
      <w:r>
        <w:rPr>
          <w:sz w:val="24"/>
          <w:szCs w:val="24"/>
          <w:lang w:val="ru-RU"/>
        </w:rPr>
        <w:t>оказания услуг</w:t>
      </w:r>
      <w:bookmarkEnd w:id="16"/>
    </w:p>
    <w:tbl>
      <w:tblPr>
        <w:tblW w:w="991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45"/>
        <w:gridCol w:w="5387"/>
        <w:gridCol w:w="1843"/>
        <w:gridCol w:w="1840"/>
      </w:tblGrid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услуг*</w:t>
            </w:r>
          </w:p>
        </w:tc>
      </w:tr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1 (Техническое обслуживание)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2х50 т (Кашхатау ГЭС, Головной узел, нижний бьеф);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2х50/2х10 т (Кашхатау ГЭС, Головной узел, верхний бьеф);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100/20 т (Кашхатау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(Кашхатау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100/20 т (Аушигерская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(Аушигерская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50/12.5 т (Баксанская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2х8/5 т (Баксанская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 </w:t>
            </w:r>
            <w:r>
              <w:rPr>
                <w:sz w:val="24"/>
                <w:szCs w:val="24"/>
              </w:rPr>
              <w:t>Кран мостовой г/п 63/16 т (Черекская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12,5 т. (Черекская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63/25 т (Зарагижская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(Зарагижская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32/5 т (Верхнебалкарская ГЭС, машинный зал).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Style w:val="Emphasis"/>
                <w:i w:val="false"/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Style w:val="Emphasis"/>
                <w:i w:val="false"/>
                <w:sz w:val="24"/>
                <w:szCs w:val="24"/>
              </w:rPr>
              <w:t>в течение 15 календарных дней с даты подписания договора</w:t>
            </w:r>
          </w:p>
        </w:tc>
      </w:tr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2 (Сезонное обслуживание)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2х50 т (Кашхатау ГЭС, Головной узел, нижний бьеф);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2х50/2х10 т (Кашхатау ГЭС, Головной узел, верхний бьеф);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100/20 т (Кашхатау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(Кашхатау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100/20 т (Аушигерская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(Аушигерская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50/12.5 т (Баксанская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2х8/5 т (Баксанская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63/16 т (Черекская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12,5 т. (Черекская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63/25 т (Зарагижская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(Зарагижская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32/5 т (Верхнебалкарская ГЭС, машинный зал).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Style w:val="Emphasis"/>
                <w:i w:val="false"/>
                <w:sz w:val="24"/>
                <w:szCs w:val="24"/>
              </w:rPr>
              <w:t>с 01.06.2027 г.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Style w:val="Emphasis"/>
                <w:i w:val="false"/>
                <w:sz w:val="24"/>
                <w:szCs w:val="24"/>
              </w:rPr>
              <w:t>не позднее 30.06.2027 г.</w:t>
            </w:r>
          </w:p>
        </w:tc>
      </w:tr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3 (Техническое обслуживание)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2х50 т (Кашхатау ГЭС, Головной узел, нижний бьеф);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2х50/2х10 т (Кашхатау ГЭС, Головной узел, верхний бьеф);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100/20 т (Кашхатау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(Кашхатау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100/20 т (Аушигерская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(Аушигерская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50/12.5 т (Баксанская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2х8/5 т (Баксанская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63/16 т (Черекская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12,5 т. (Черекская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63/25 т (Зарагижская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(Зарагижская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32/5 т (Верхнебалкарская ГЭС, машинный зал).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rStyle w:val="Emphasis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Style w:val="Emphasis"/>
                <w:i w:val="false"/>
                <w:sz w:val="24"/>
                <w:szCs w:val="24"/>
              </w:rPr>
              <w:t>с 01.09.2027 г.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rStyle w:val="Emphasis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Style w:val="Emphasis"/>
                <w:i w:val="false"/>
                <w:sz w:val="24"/>
                <w:szCs w:val="24"/>
              </w:rPr>
              <w:t>не позднее 30.09.2027 г.</w:t>
            </w:r>
          </w:p>
        </w:tc>
      </w:tr>
      <w:tr>
        <w:trPr/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 4 (Сезонное обслуживание)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2х50 т (Кашхатау ГЭС, Головной узел, нижний бьеф);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2х50/2х10 т (Кашхатау ГЭС, Головной узел, верхний бьеф);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100/20 т (Кашхатау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(Кашхатау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100/20 т (Аушигерская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(Аушигерская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50/12.5 т (Баксанская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2х8/5 т (Баксанская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63/16 т (Черекская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козловой г/п 12,5 т. (Черекская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63/25 т (Зарагижская ГЭС, машинный зал);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20/5 т (Зарагижская ГЭС, водоприемник);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• </w:t>
            </w:r>
            <w:r>
              <w:rPr>
                <w:sz w:val="24"/>
                <w:szCs w:val="24"/>
              </w:rPr>
              <w:t>Кран мостовой г/п 32/5 т (Верхнебалкарская ГЭС, машинный зал).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Style w:val="Emphasis"/>
                <w:i w:val="false"/>
                <w:sz w:val="24"/>
                <w:szCs w:val="24"/>
              </w:rPr>
              <w:t>с 01.12.2027 г.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before="74" w:after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Style w:val="Emphasis"/>
                <w:i w:val="false"/>
                <w:sz w:val="24"/>
                <w:szCs w:val="24"/>
              </w:rPr>
              <w:t>не позднее 31.12.2027</w:t>
            </w:r>
            <w:bookmarkStart w:id="20" w:name="_GoBack"/>
            <w:bookmarkEnd w:id="20"/>
            <w:r>
              <w:rPr>
                <w:rStyle w:val="Emphasis"/>
                <w:i w:val="false"/>
                <w:sz w:val="24"/>
                <w:szCs w:val="24"/>
              </w:rPr>
              <w:t xml:space="preserve"> г.</w:t>
            </w:r>
          </w:p>
        </w:tc>
      </w:tr>
    </w:tbl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1" w:gutter="0" w:header="680" w:top="851" w:footer="0" w:bottom="992"/>
          <w:pgNumType w:fmt="decimal"/>
          <w:formProt w:val="false"/>
          <w:titlePg/>
          <w:textDirection w:val="lrTb"/>
          <w:docGrid w:type="default" w:linePitch="360" w:charSpace="57344"/>
        </w:sectPr>
        <w:pStyle w:val="Normal"/>
        <w:keepNext w:val="true"/>
        <w:keepLines/>
        <w:numPr>
          <w:ilvl w:val="0"/>
          <w:numId w:val="0"/>
        </w:numPr>
        <w:spacing w:before="240" w:after="60"/>
        <w:outlineLvl w:val="0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>*</w:t>
      </w:r>
      <w:r>
        <w:rPr>
          <w:sz w:val="24"/>
          <w:szCs w:val="24"/>
        </w:rPr>
        <w:t xml:space="preserve"> Срок оказания услуг в соответствии с календарным графиком доходного договора</w:t>
      </w:r>
      <w:r>
        <w:br w:type="page"/>
      </w:r>
    </w:p>
    <w:p>
      <w:pPr>
        <w:pStyle w:val="Normal"/>
        <w:keepNext w:val="true"/>
        <w:keepLines/>
        <w:numPr>
          <w:ilvl w:val="0"/>
          <w:numId w:val="0"/>
        </w:numPr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</w:pPr>
      <w:r>
        <w:rPr>
          <w:rFonts w:eastAsia="Calibri"/>
          <w:b/>
          <w:sz w:val="24"/>
          <w:szCs w:val="24"/>
          <w:lang w:eastAsia="x-none"/>
        </w:rPr>
      </w:r>
    </w:p>
    <w:p>
      <w:pPr>
        <w:pStyle w:val="Heading4"/>
        <w:numPr>
          <w:ilvl w:val="1"/>
          <w:numId w:val="3"/>
        </w:numPr>
        <w:rPr/>
      </w:pPr>
      <w:bookmarkStart w:id="21" w:name="_Toc54643709"/>
      <w:bookmarkStart w:id="22" w:name="_Toc51339698"/>
      <w:bookmarkStart w:id="23" w:name="_Toc54643708"/>
      <w:bookmarkStart w:id="24" w:name="_Toc46743511"/>
      <w:r>
        <w:rPr/>
        <w:t xml:space="preserve">Требования к </w:t>
      </w:r>
      <w:bookmarkEnd w:id="24"/>
      <w:r>
        <w:rPr>
          <w:lang w:val="ru-RU"/>
        </w:rPr>
        <w:t xml:space="preserve">качеству </w:t>
      </w:r>
      <w:bookmarkEnd w:id="23"/>
      <w:r>
        <w:rPr>
          <w:lang w:val="ru-RU"/>
        </w:rPr>
        <w:t>услуг</w:t>
      </w:r>
    </w:p>
    <w:p>
      <w:pPr>
        <w:pStyle w:val="Heading1"/>
        <w:keepLines/>
        <w:numPr>
          <w:ilvl w:val="0"/>
          <w:numId w:val="0"/>
        </w:numPr>
        <w:spacing w:before="240" w:after="60"/>
        <w:ind w:hanging="0" w:left="0"/>
        <w:rPr>
          <w:sz w:val="24"/>
          <w:szCs w:val="24"/>
          <w:lang w:val="ru-RU"/>
        </w:rPr>
      </w:pPr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bookmarkEnd w:id="22"/>
      <w:r>
        <w:rPr>
          <w:sz w:val="24"/>
          <w:szCs w:val="24"/>
          <w:lang w:val="ru-RU"/>
        </w:rPr>
        <w:t xml:space="preserve">качеству </w:t>
      </w:r>
      <w:bookmarkEnd w:id="21"/>
      <w:r>
        <w:rPr>
          <w:sz w:val="24"/>
          <w:szCs w:val="24"/>
          <w:lang w:val="ru-RU"/>
        </w:rPr>
        <w:t>услуг</w:t>
      </w:r>
    </w:p>
    <w:p>
      <w:pPr>
        <w:pStyle w:val="Normal"/>
        <w:ind w:right="567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Наименование услуг/этапа услуг: ОКПД 2: 33.12.15.000 «Оказание услуг по техническому обслуживанию приборов безопасности грузоподъёмных сооружений Филиала ПАО «РусГидро»-«Кабардино-Балкарский филиал» для нужд Северо-Кавказского филиала»</w:t>
      </w:r>
    </w:p>
    <w:p>
      <w:pPr>
        <w:pStyle w:val="Normal"/>
        <w:ind w:right="567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tbl>
      <w:tblPr>
        <w:tblW w:w="14841" w:type="dxa"/>
        <w:jc w:val="left"/>
        <w:tblInd w:w="-10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019"/>
        <w:gridCol w:w="2176"/>
        <w:gridCol w:w="6969"/>
        <w:gridCol w:w="2409"/>
        <w:gridCol w:w="2268"/>
      </w:tblGrid>
      <w:tr>
        <w:trPr/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101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Cs/>
                <w:sz w:val="24"/>
                <w:szCs w:val="24"/>
              </w:rPr>
            </w:pPr>
            <w:bookmarkStart w:id="25" w:name="_Toc53499667"/>
            <w:r>
              <w:rPr>
                <w:b/>
                <w:bCs/>
                <w:sz w:val="24"/>
                <w:szCs w:val="24"/>
              </w:rPr>
              <w:t>1</w:t>
            </w:r>
            <w:bookmarkEnd w:id="25"/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left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оказанию услуг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Участник должен предоставить в заявке согласие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-//-</w:t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pacing w:before="60" w:after="60"/>
              <w:ind w:firstLine="142" w:left="-117"/>
              <w:contextualSpacing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оказанию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left="-1199"/>
              <w:contextualSpacing/>
              <w:jc w:val="center"/>
              <w:rPr/>
            </w:pPr>
            <w:r>
              <w:rPr>
                <w:rStyle w:val="Annotationreference"/>
                <w:sz w:val="24"/>
                <w:szCs w:val="24"/>
              </w:rPr>
              <w:t xml:space="preserve">               </w:t>
            </w:r>
            <w:r>
              <w:rPr>
                <w:rStyle w:val="Annotationreference"/>
                <w:sz w:val="24"/>
                <w:szCs w:val="24"/>
              </w:rPr>
              <w:t>1.1.1.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hd w:val="clear" w:color="auto" w:fill="FFFFFF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Общие условия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55" w:type="dxa"/>
              <w:bottom w:w="55" w:type="dxa"/>
            </w:tcMar>
          </w:tcPr>
          <w:p>
            <w:pPr>
              <w:pStyle w:val="ConsPlusTitle"/>
              <w:numPr>
                <w:ilvl w:val="0"/>
                <w:numId w:val="0"/>
              </w:numPr>
              <w:jc w:val="both"/>
              <w:outlineLvl w:val="2"/>
              <w:rPr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shd w:fill="FFFFFF" w:val="clear"/>
              </w:rPr>
              <w:t>Исполнитель принимает на себя обязательства по выполнению ус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</w:rPr>
              <w:t>луг по техническому обслуживанию приборов и устройств безопасности (указателей, ограничителей и регистраторов) п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shd w:fill="FFFFFF" w:val="clear"/>
              </w:rPr>
              <w:t>одъёмных сооружений ПАО "РусГидро"-"Кабардино-Балкарский филиал" в соответствии с объёмами и сроками, указанными в таблице №1 данного ТТ.</w:t>
            </w:r>
            <w:r>
              <w:rPr>
                <w:shd w:fill="FFFFFF" w:val="clear"/>
              </w:rPr>
              <w:t xml:space="preserve"> 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rStyle w:val="Annotationreference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pacing w:before="60" w:after="60"/>
              <w:ind w:hanging="1199" w:left="0"/>
              <w:contextualSpacing w:val="false"/>
              <w:jc w:val="center"/>
              <w:rPr/>
            </w:pPr>
            <w:r>
              <w:rPr/>
              <w:t>1.1.2.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при оказании услуг норм и правил нормативно-технических документов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оказании услуг исполнитель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ind w:left="0"/>
              <w:jc w:val="both"/>
              <w:rPr/>
            </w:pPr>
            <w:r>
              <w:rPr/>
              <w:t>- ФНП в области ПБ «Правила безопасности ОПО, на которых используются подъемные сооружения», утвержденных Приказом Ростехнадзора от 26 ноября 2020 г. №461;</w:t>
            </w:r>
          </w:p>
          <w:p>
            <w:pPr>
              <w:pStyle w:val="ListParagraph"/>
              <w:ind w:left="0"/>
              <w:jc w:val="both"/>
              <w:rPr/>
            </w:pPr>
            <w:r>
              <w:rPr/>
              <w:t>- Стандарт организации СТО «РусГидро» 05.02.126-2020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гидроэлектростанций»;</w:t>
            </w:r>
          </w:p>
          <w:p>
            <w:pPr>
              <w:pStyle w:val="ListParagraph"/>
              <w:ind w:left="0"/>
              <w:jc w:val="both"/>
              <w:rPr/>
            </w:pPr>
            <w:r>
              <w:rPr/>
              <w:t>- СО 153-34.20.501-2003 «Правила технической эксплуатации электрических станций и сетей РФ»;</w:t>
            </w:r>
          </w:p>
          <w:p>
            <w:pPr>
              <w:pStyle w:val="ListParagraph"/>
              <w:ind w:left="0"/>
              <w:jc w:val="both"/>
              <w:rPr/>
            </w:pPr>
            <w:r>
              <w:rPr/>
              <w:t>- Правилами по охране труда при эксплуатации электроустановок (далее ПОТ ЭУ),</w:t>
            </w:r>
            <w:r>
              <w:rPr>
                <w:rFonts w:eastAsia="TimesNewRomanPSMT"/>
              </w:rPr>
              <w:t xml:space="preserve"> Приказ Министерства труда и социальной защиты РФ от 15.12.2020 № 903н.</w:t>
            </w:r>
          </w:p>
          <w:p>
            <w:pPr>
              <w:pStyle w:val="ListParagraph"/>
              <w:ind w:left="0"/>
              <w:jc w:val="both"/>
              <w:rPr/>
            </w:pPr>
            <w:r>
              <w:rPr/>
              <w:t>- РД 153-34.0-03.301-00 (ВППБ 01-02-95) «Правила пожарной безопасности для энергетических предприятий»;</w:t>
            </w:r>
          </w:p>
          <w:p>
            <w:pPr>
              <w:pStyle w:val="ListParagraph"/>
              <w:ind w:left="0"/>
              <w:jc w:val="both"/>
              <w:rPr/>
            </w:pPr>
            <w:r>
              <w:rPr/>
              <w:t>- Правил по охране труда при работе на высоте», утв. Приказом Минтруда России от 16.11.2020 №782н.;</w:t>
            </w:r>
          </w:p>
          <w:p>
            <w:pPr>
              <w:pStyle w:val="Normal"/>
              <w:tabs>
                <w:tab w:val="clear" w:pos="708"/>
                <w:tab w:val="left" w:pos="969" w:leader="none"/>
                <w:tab w:val="left" w:pos="10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действующей редакцией положения о пропускном и внутриобъектовом режимах на объектах Заказчика;</w:t>
            </w:r>
          </w:p>
          <w:p>
            <w:pPr>
              <w:pStyle w:val="Normal"/>
              <w:tabs>
                <w:tab w:val="clear" w:pos="708"/>
                <w:tab w:val="left" w:pos="969" w:leader="none"/>
                <w:tab w:val="left" w:pos="10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норм, правил и инструкций, действующим на территории Кабардино-Балкарского филиала;</w:t>
            </w:r>
          </w:p>
          <w:p>
            <w:pPr>
              <w:pStyle w:val="Normal"/>
              <w:tabs>
                <w:tab w:val="clear" w:pos="708"/>
                <w:tab w:val="left" w:pos="969" w:leader="none"/>
                <w:tab w:val="left" w:pos="10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эксплуатационная документация на обслуживаемые </w:t>
            </w:r>
            <w:r>
              <w:rPr>
                <w:rFonts w:eastAsia="Calibri"/>
                <w:bCs/>
                <w:iCs/>
                <w:sz w:val="24"/>
                <w:szCs w:val="24"/>
              </w:rPr>
              <w:t xml:space="preserve">приборы и устройства безопасности; </w:t>
            </w:r>
          </w:p>
          <w:p>
            <w:pPr>
              <w:pStyle w:val="ListParagraph"/>
              <w:ind w:left="0"/>
              <w:jc w:val="both"/>
              <w:rPr/>
            </w:pPr>
            <w:r>
              <w:rPr/>
              <w:t>- иными нормативными документами, устанавливающими требования в области охраны труда, промышленной и пожарной безопасности, промышленной санитарии и охраны окружающей среды, действующими на момент оказания услуг.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left="-117"/>
              <w:contextualSpacing/>
              <w:jc w:val="center"/>
              <w:rPr/>
            </w:pPr>
            <w:r>
              <w:rPr/>
              <w:t>1.2</w:t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способам оказания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pacing w:before="60" w:after="60"/>
              <w:ind w:hanging="1199" w:left="0"/>
              <w:contextualSpacing w:val="false"/>
              <w:jc w:val="center"/>
              <w:rPr/>
            </w:pPr>
            <w:r>
              <w:rPr/>
              <w:t>1.2.1.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порядку оказания услуг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доставка необходимого оборудования к месту оказания услуг;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и проверка оборудования, допуск к работе;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rFonts w:eastAsia="Calibri"/>
                <w:bCs/>
                <w:iCs/>
                <w:color w:val="000000"/>
                <w:sz w:val="24"/>
                <w:szCs w:val="24"/>
              </w:rPr>
              <w:t>анализ эксплуатационной документации на приборы и устройства безопасности, указанные в паспортах ПС (согласно таблицы 1 данного ТТ);</w:t>
            </w:r>
          </w:p>
          <w:p>
            <w:pPr>
              <w:pStyle w:val="Normal"/>
              <w:tabs>
                <w:tab w:val="clear" w:pos="708"/>
                <w:tab w:val="left" w:pos="0" w:leader="none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проверка работоспособности </w:t>
            </w:r>
            <w:r>
              <w:rPr>
                <w:rFonts w:eastAsia="Calibri"/>
                <w:bCs/>
                <w:iCs/>
                <w:color w:val="000000"/>
                <w:sz w:val="24"/>
                <w:szCs w:val="24"/>
              </w:rPr>
              <w:t>приборов и устройств безопасности (регистраторы, ограничителе и указатели)</w:t>
            </w:r>
            <w:r>
              <w:rPr>
                <w:color w:val="000000"/>
                <w:sz w:val="24"/>
                <w:szCs w:val="24"/>
              </w:rPr>
              <w:t xml:space="preserve"> с подтверждением соответствия его характеристик требования ЭД на соответствующие приборы;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iCs/>
                <w:color w:val="000000"/>
                <w:sz w:val="24"/>
                <w:szCs w:val="24"/>
              </w:rPr>
              <w:t xml:space="preserve">- техническое обслуживание (в том числе настройка (при необходимости)) приборов и устройств безопасности (регистраторы, ограничителе и указатели) указанных в паспортах ПС (согласно таблицы 1 данного ТТ) в соответствии и в объёме, указанном в ЭД обслуживаемых </w:t>
            </w:r>
            <w:r>
              <w:rPr>
                <w:color w:val="000000"/>
                <w:sz w:val="24"/>
                <w:szCs w:val="24"/>
              </w:rPr>
              <w:t>приборов и устройств, и таблицы 3 данного ТТ;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iCs/>
                <w:color w:val="000000"/>
                <w:sz w:val="24"/>
                <w:szCs w:val="24"/>
              </w:rPr>
              <w:t xml:space="preserve">- считывание и расшифровка данных регистратора параметров ПС (не реже 1 раза в 6 месяцев если другое не указано в ЭД регистратора) с оформление протокола (акта). 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iCs/>
                <w:color w:val="000000"/>
                <w:sz w:val="24"/>
                <w:szCs w:val="24"/>
              </w:rPr>
              <w:t>- формирование актов (ведомостей) выявленных дефектов и неисправностей приборов безопасности (при выявлении).</w:t>
            </w:r>
          </w:p>
          <w:p>
            <w:pPr>
              <w:pStyle w:val="Normal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iCs/>
                <w:color w:val="000000"/>
                <w:sz w:val="24"/>
                <w:szCs w:val="24"/>
              </w:rPr>
              <w:t>- оформление всей необходимой отчётной документации и записей в паспортах приборов и устройств безопасности.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left="-117"/>
              <w:contextualSpacing/>
              <w:jc w:val="center"/>
              <w:rPr/>
            </w:pPr>
            <w:r>
              <w:rPr/>
              <w:t>1.3</w:t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6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left="-1199"/>
              <w:contextualSpacing/>
              <w:jc w:val="center"/>
              <w:rPr/>
            </w:pPr>
            <w:r>
              <w:rPr/>
              <w:t xml:space="preserve">                </w:t>
            </w:r>
            <w:r>
              <w:rPr/>
              <w:t>1.3.1.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Организационно-технические мероприятия по допуску персонала исполнителя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426" w:leader="none"/>
              </w:tabs>
              <w:spacing w:before="60" w:after="0"/>
              <w:rPr>
                <w:b/>
                <w:i/>
                <w:i/>
                <w:iCs/>
                <w:color w:val="000000"/>
                <w:sz w:val="24"/>
                <w:szCs w:val="24"/>
                <w:shd w:fill="FFFFFF" w:val="clear"/>
              </w:rPr>
            </w:pPr>
            <w:r>
              <w:rPr>
                <w:b/>
                <w:i/>
                <w:iCs/>
                <w:color w:val="000000"/>
                <w:sz w:val="24"/>
                <w:szCs w:val="24"/>
                <w:shd w:fill="FFFFFF" w:val="clear"/>
              </w:rPr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426" w:leader="none"/>
              </w:tabs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Допуск персонала исполнителя для оказания услуг должен осуществляться в соответствии с «Методикой допуска персонала подрядных организаций к выполнению работ на объектах ПАО «РусГидро» (утв. приказом ПАО «РусГидро» №300 от 28.04.2023г) (Приложение №4 к ТТ)» с обязательным оформлением необходимых нарядов-допусков.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Подготовку рабочих мест и допуск к оказанию услуг выполняет филиал ПАО «РусГидро»-«Кабардино-Балкарского филиала»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pacing w:before="60" w:after="60"/>
              <w:ind w:hanging="1199" w:left="0"/>
              <w:contextualSpacing w:val="false"/>
              <w:jc w:val="center"/>
              <w:rPr/>
            </w:pPr>
            <w:r>
              <w:rPr/>
              <w:t>1.3.2.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информационной безопасности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пересылке файлов не допускается использование открытых файлообменных сервисов.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left="-117"/>
              <w:contextualSpacing/>
              <w:jc w:val="center"/>
              <w:rPr/>
            </w:pPr>
            <w:r>
              <w:rPr/>
              <w:t>1.4</w:t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Normal"/>
              <w:spacing w:before="6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left="0"/>
              <w:contextualSpacing/>
              <w:rPr/>
            </w:pPr>
            <w:r>
              <w:rPr/>
              <w:t xml:space="preserve">   </w:t>
            </w:r>
            <w:r>
              <w:rPr/>
              <w:t>1.4.1.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необходимых средств технического диагностирования и контроля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tcMar>
              <w:top w:w="55" w:type="dxa"/>
              <w:bottom w:w="55" w:type="dxa"/>
            </w:tcMar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должен располагать необходимыми материалами, комплектующими изделиями, инструментом, приспособлениями, оборудованием, обеспечивающими возможность выполнения работ техническому обслуживанию приборов безопасности.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допускается применение аппаратуры, подлежащей госповерке и не прошедшей её.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left="-117"/>
              <w:contextualSpacing/>
              <w:jc w:val="center"/>
              <w:rPr/>
            </w:pPr>
            <w:r>
              <w:rPr/>
              <w:t>1.5.</w:t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069" w:hRule="atLeast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pacing w:before="60" w:after="60"/>
              <w:ind w:hanging="1199" w:left="0"/>
              <w:contextualSpacing w:val="false"/>
              <w:jc w:val="center"/>
              <w:rPr/>
            </w:pPr>
            <w:r>
              <w:rPr/>
              <w:t>1.5.1.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Квалификация персонала исполнителя, привлекаемого к оказанию услуг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начала оказания услуг в рамках исполнения договора после его заключения исполнитель предоставляет список персонала с указанием сведений о квалификации персонала, группе по электробезопасности и на высоте с приложением копий удостоверений на производство специальных видов работ:</w:t>
            </w:r>
          </w:p>
          <w:p>
            <w:pPr>
              <w:pStyle w:val="ListParagraph"/>
              <w:tabs>
                <w:tab w:val="clear" w:pos="708"/>
                <w:tab w:val="left" w:pos="426" w:leader="none"/>
              </w:tabs>
              <w:spacing w:before="60" w:after="0"/>
              <w:ind w:left="0"/>
              <w:contextualSpacing/>
              <w:jc w:val="both"/>
              <w:rPr/>
            </w:pPr>
            <w:r>
              <w:rPr/>
              <w:t>- руководитель работ, с группой допуска по электробезопасности не ниже I</w:t>
            </w:r>
            <w:r>
              <w:rPr>
                <w:lang w:val="en-US"/>
              </w:rPr>
              <w:t>V</w:t>
            </w:r>
            <w:r>
              <w:rPr/>
              <w:t xml:space="preserve"> и группой по высоте не ниже </w:t>
            </w:r>
            <w:r>
              <w:rPr>
                <w:lang w:val="en-US"/>
              </w:rPr>
              <w:t>III</w:t>
            </w:r>
            <w:r>
              <w:rPr/>
              <w:t>;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производитель работ, с группой допуска по электробезопасности не ниже IV и группой по высоте не ниже II;</w:t>
            </w:r>
          </w:p>
          <w:p>
            <w:pPr>
              <w:pStyle w:val="ListParagraph"/>
              <w:tabs>
                <w:tab w:val="clear" w:pos="708"/>
                <w:tab w:val="left" w:pos="426" w:leader="none"/>
              </w:tabs>
              <w:spacing w:before="60" w:after="0"/>
              <w:ind w:left="0"/>
              <w:contextualSpacing/>
              <w:jc w:val="both"/>
              <w:rPr/>
            </w:pPr>
            <w:r>
              <w:rPr/>
              <w:t>-  член бригады, с группой допуска по электробезопасности не ниже III и группой по высоте не ниже II.</w:t>
            </w:r>
          </w:p>
          <w:p>
            <w:pPr>
              <w:pStyle w:val="ListParagraph"/>
              <w:tabs>
                <w:tab w:val="clear" w:pos="708"/>
                <w:tab w:val="left" w:pos="426" w:leader="none"/>
              </w:tabs>
              <w:spacing w:before="60" w:after="0"/>
              <w:ind w:left="0"/>
              <w:contextualSpacing/>
              <w:jc w:val="both"/>
              <w:rPr/>
            </w:pPr>
            <w:r>
              <w:rPr/>
            </w:r>
          </w:p>
          <w:p>
            <w:pPr>
              <w:pStyle w:val="ListParagraph"/>
              <w:tabs>
                <w:tab w:val="clear" w:pos="708"/>
                <w:tab w:val="left" w:pos="426" w:leader="none"/>
              </w:tabs>
              <w:spacing w:before="60" w:after="0"/>
              <w:ind w:left="0"/>
              <w:contextualSpacing/>
              <w:jc w:val="both"/>
              <w:rPr/>
            </w:pPr>
            <w:r>
              <w:rPr/>
              <w:t>Наличие квалифицированного и аттестованного персонала, соответствующего требованиям эксплуатационной документации на обслуживаемые приборы и устройства безопасности, с предоставлением соответствующих свидетельств, удостоверений и протоколов.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Для подтверждения принадлежности исполнителей должны быть предоставлены: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копии трудового договора или копии трудовых книжек или копии приказов о приёме на работу;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копию страниц паспорта;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справку об отсутствии судимости;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заполненную анкету (форма Приложение № 1 к настоящим техническим требованиям);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согласие на обработку персональных и иных охраняемых законном данных (форма Приложение № 2 к настоящим техническим требованиям).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копии удостоверений по ЭБ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 xml:space="preserve">копии протоколов по ЭБ 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•</w:t>
            </w:r>
            <w:r>
              <w:rPr>
                <w:sz w:val="24"/>
                <w:szCs w:val="24"/>
              </w:rPr>
              <w:tab/>
              <w:t>документы о прохождении медосмотра и психиатрического освидетельствования, заверенными руководителем организации или уполномоченным лицом.</w:t>
            </w:r>
          </w:p>
          <w:p>
            <w:pPr>
              <w:pStyle w:val="ListParagraph"/>
              <w:tabs>
                <w:tab w:val="clear" w:pos="708"/>
                <w:tab w:val="left" w:pos="426" w:leader="none"/>
              </w:tabs>
              <w:spacing w:before="60" w:after="0"/>
              <w:ind w:left="0"/>
              <w:contextualSpacing/>
              <w:rPr/>
            </w:pPr>
            <w:r>
              <w:rPr/>
              <w:t>•</w:t>
            </w:r>
            <w:r>
              <w:rPr/>
              <w:tab/>
              <w:t>копии удостоверений наладчиков приборов безопасности (наладчиков строительных машин) с приложениями.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left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у</w:t>
            </w:r>
            <w:r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left="-117"/>
              <w:contextualSpacing/>
              <w:jc w:val="center"/>
              <w:rPr/>
            </w:pPr>
            <w:r>
              <w:rPr/>
              <w:t xml:space="preserve"> </w:t>
            </w:r>
            <w:r>
              <w:rPr/>
              <w:t>2.1</w:t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pacing w:before="60" w:after="60"/>
              <w:ind w:hanging="1199" w:left="0"/>
              <w:contextualSpacing w:val="false"/>
              <w:jc w:val="center"/>
              <w:rPr/>
            </w:pPr>
            <w:r>
              <w:rPr/>
              <w:t>2.1.1.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оказания услуг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работоспособное и исправное состояние </w:t>
            </w:r>
            <w:r>
              <w:rPr>
                <w:rFonts w:eastAsia="Calibri"/>
                <w:bCs/>
                <w:iCs/>
                <w:color w:val="000000"/>
                <w:sz w:val="24"/>
                <w:szCs w:val="24"/>
              </w:rPr>
              <w:t>приборов и устройства безопасности указанных в паспортах ПС (согласно таблицы 1 данного ТТ);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предоставление Акта сдачи-приемки оказанных услуг;</w:t>
            </w:r>
          </w:p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предоставление протокола считывания, проверки регистратора параметров ограничителя грузоподъемности (на каждое ПС); 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предоставление акта проверки приборов безопасности с общими заключениями и рекомендациями (на каждое ПС);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предоставление отчета о текущем состоянии приборов безопасности (на каждое ПС);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73" w:hRule="atLeast"/>
        </w:trPr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pacing w:before="60" w:after="60"/>
              <w:ind w:hanging="1199" w:left="0"/>
              <w:contextualSpacing w:val="false"/>
              <w:jc w:val="center"/>
              <w:rPr/>
            </w:pPr>
            <w:r>
              <w:rPr/>
              <w:t>2.1.2.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Приемка услуг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Услуги считаются оказанными Исполнителем и принятыми Заказчиком с момента подписания Сторонами Акта сдачи-приемки оказанных услуг.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ListParagraph"/>
              <w:spacing w:before="60" w:after="60"/>
              <w:ind w:left="-117"/>
              <w:contextualSpacing/>
              <w:jc w:val="center"/>
              <w:rPr/>
            </w:pPr>
            <w:r>
              <w:rPr/>
              <w:t>2.2.</w:t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spacing w:before="6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pacing w:before="60" w:after="60"/>
              <w:ind w:hanging="1199" w:left="0"/>
              <w:contextualSpacing w:val="false"/>
              <w:jc w:val="center"/>
              <w:rPr/>
            </w:pPr>
            <w:r>
              <w:rPr/>
              <w:t>2.2.1.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Документы, передаваемые заказчику по результатам оказанных услуг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исполнитель передает заказчику акт приемки-сдачи оказанных услуг в двух экземплярах;</w:t>
            </w:r>
          </w:p>
          <w:p>
            <w:pPr>
              <w:pStyle w:val="Normal"/>
              <w:jc w:val="both"/>
              <w:rPr/>
            </w:pPr>
            <w:r>
              <w:rPr>
                <w:sz w:val="24"/>
                <w:szCs w:val="24"/>
              </w:rPr>
              <w:t>-  исполнитель передает заказчику акт проверки приборов безопасности в двух экземплярах на бумажном носителе;</w:t>
            </w:r>
          </w:p>
          <w:p>
            <w:pPr>
              <w:pStyle w:val="Normal"/>
              <w:jc w:val="both"/>
              <w:rPr/>
            </w:pPr>
            <w:r>
              <w:rPr>
                <w:sz w:val="24"/>
                <w:szCs w:val="24"/>
              </w:rPr>
              <w:t>- исполнитель передает технический отчет о текущем состоянии с общими заключениями и рекомендациями в двух экземплярах на бумажном носителе;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исполнитель передает Заказчику протокол считывания приборов безопасности в двух экземплярах на бумажном носителе;</w:t>
            </w:r>
          </w:p>
          <w:p>
            <w:pPr>
              <w:pStyle w:val="Normal"/>
              <w:jc w:val="both"/>
              <w:rPr/>
            </w:pPr>
            <w:r>
              <w:rPr>
                <w:sz w:val="24"/>
                <w:szCs w:val="24"/>
              </w:rPr>
              <w:t>- внесение записей в паспорта приборов и устройств безопасности (по согласованию с Заказчиком).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left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pacing w:before="60" w:after="60"/>
              <w:ind w:hanging="1199" w:left="0"/>
              <w:contextualSpacing w:val="false"/>
              <w:jc w:val="center"/>
              <w:rPr/>
            </w:pPr>
            <w:r>
              <w:rPr/>
              <w:t>3.1.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на результат услуг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на результат услуг должен составлять 12 месяцев с даты подписания Акта сдачи-приемки услуг.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ListParagraph"/>
              <w:spacing w:before="60" w:after="60"/>
              <w:ind w:hanging="1199" w:left="1224"/>
              <w:contextualSpacing/>
              <w:jc w:val="center"/>
              <w:rPr/>
            </w:pPr>
            <w:r>
              <w:rPr/>
              <w:t>3.2.</w:t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spacing w:before="20" w:after="0"/>
              <w:rPr>
                <w:b/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Требования к ответственности и гарантиям исполнителя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ListParagraph"/>
              <w:spacing w:before="60" w:after="60"/>
              <w:ind w:hanging="1199" w:left="1224"/>
              <w:contextualSpacing/>
              <w:jc w:val="center"/>
              <w:rPr/>
            </w:pPr>
            <w:r>
              <w:rPr/>
              <w:t>3.2.1.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Ответственность Исполнителя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Исполнитель несет ответственность за качество оказанных услуг, полноту и достоверность предоставляемых данных, в соответствии с настоящими техническими требованиями и действующими нормативными актами РФ.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before="60" w:after="60"/>
              <w:ind w:hanging="1199" w:left="1224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9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Прочие требования к оказанию услуг</w:t>
            </w:r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ListParagraph"/>
              <w:spacing w:before="60" w:after="60"/>
              <w:ind w:left="0"/>
              <w:contextualSpacing/>
              <w:jc w:val="center"/>
              <w:rPr/>
            </w:pPr>
            <w:r>
              <w:rPr/>
              <w:t>4.1.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Style29"/>
              <w:keepNext w:val="false"/>
              <w:spacing w:before="0" w:after="0"/>
              <w:rPr>
                <w:rFonts w:eastAsia="Times New Roman"/>
                <w:b w:val="false"/>
                <w:shd w:fill="FFFFFF" w:val="clear"/>
              </w:rPr>
            </w:pPr>
            <w:r>
              <w:rPr>
                <w:rFonts w:eastAsia="Times New Roman"/>
                <w:b w:val="false"/>
                <w:shd w:fill="FFFFFF" w:val="clear"/>
              </w:rPr>
              <w:t>Стоимость оказываемых услуг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Style29"/>
              <w:keepNext w:val="false"/>
              <w:spacing w:before="0" w:after="0"/>
              <w:jc w:val="left"/>
              <w:rPr>
                <w:rFonts w:eastAsia="Times New Roman"/>
                <w:b w:val="false"/>
                <w:shd w:fill="FFFFFF" w:val="clear"/>
              </w:rPr>
            </w:pPr>
            <w:bookmarkStart w:id="26" w:name="_Toc125982018"/>
            <w:r>
              <w:rPr>
                <w:rFonts w:eastAsia="Times New Roman"/>
                <w:b w:val="false"/>
                <w:shd w:fill="FFFFFF" w:val="clear"/>
              </w:rPr>
              <w:t>Стоимость услуг  является фиксированной на протяжении всего срока действия договора</w:t>
            </w:r>
            <w:bookmarkEnd w:id="26"/>
          </w:p>
        </w:tc>
        <w:tc>
          <w:tcPr>
            <w:tcW w:w="24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</w:tbl>
    <w:p>
      <w:pPr>
        <w:sectPr>
          <w:headerReference w:type="default" r:id="rId4"/>
          <w:headerReference w:type="first" r:id="rId5"/>
          <w:type w:val="nextPage"/>
          <w:pgSz w:orient="landscape" w:w="16838" w:h="11906"/>
          <w:pgMar w:left="1134" w:right="678" w:gutter="0" w:header="680" w:top="737" w:footer="0" w:bottom="851"/>
          <w:pgNumType w:fmt="decimal"/>
          <w:formProt w:val="false"/>
          <w:titlePg/>
          <w:textDirection w:val="lrTb"/>
          <w:docGrid w:type="default" w:linePitch="360" w:charSpace="57344"/>
        </w:sectPr>
      </w:pPr>
    </w:p>
    <w:p>
      <w:pPr>
        <w:pStyle w:val="Normal"/>
        <w:jc w:val="center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567" w:leader="none"/>
        </w:tabs>
        <w:ind w:firstLine="142" w:left="-142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bookmarkStart w:id="27" w:name="_Toc124516424"/>
      <w:r>
        <w:rPr>
          <w:b/>
          <w:bCs/>
          <w:sz w:val="24"/>
          <w:szCs w:val="24"/>
        </w:rPr>
        <w:t>Требования к документации по ценообразованию на этапе закупки</w:t>
      </w:r>
      <w:bookmarkEnd w:id="27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keepNext w:val="true"/>
        <w:numPr>
          <w:ilvl w:val="0"/>
          <w:numId w:val="0"/>
        </w:numPr>
        <w:ind w:left="0"/>
        <w:outlineLvl w:val="0"/>
        <w:rPr>
          <w:b/>
          <w:lang w:eastAsia="x-none"/>
        </w:rPr>
      </w:pPr>
      <w:r>
        <w:rPr>
          <w:b/>
          <w:lang w:eastAsia="x-none"/>
        </w:rPr>
        <w:t>4</w:t>
      </w:r>
      <w:r>
        <w:rPr>
          <w:b/>
          <w:lang w:val="x-none" w:eastAsia="x-none"/>
        </w:rPr>
        <w:t>. Приложения</w:t>
      </w:r>
      <w:r>
        <w:rPr>
          <w:b/>
          <w:lang w:eastAsia="x-none"/>
        </w:rPr>
        <w:t>: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4.1. Приложение № 1: Анкета;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4.2 Приложение № 2: Согласие на обработку персональных и иных охраняемых законом данных;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4.3 Приложение № 3: </w:t>
      </w:r>
      <w:r>
        <w:rPr>
          <w:bCs/>
          <w:iCs/>
          <w:color w:val="000000"/>
          <w:sz w:val="24"/>
          <w:szCs w:val="24"/>
          <w:shd w:fill="FFFFFF" w:val="clear"/>
        </w:rPr>
        <w:t>Методика допуска персонала подрядных организаций к выполнению работ на объектах ПАО «РусГидро» - (отдельным приложенным файлом).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 1 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Техническим требованиям 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на оказание услуг по техническому обслуживанию приборов безопасности грузоподъёмных сооружений филиала ПАО "РусГидро"-"Кабардино-Балкарский филиал"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АНКЕТА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(для организации доступа на территорию объекта ТЭК)</w:t>
      </w:r>
    </w:p>
    <w:p>
      <w:pPr>
        <w:pStyle w:val="Normal"/>
        <w:ind w:left="360"/>
        <w:rPr>
          <w:sz w:val="24"/>
          <w:szCs w:val="24"/>
        </w:rPr>
      </w:pPr>
      <w:r>
        <w:rPr/>
        <w:drawing>
          <wp:inline distT="0" distB="0" distL="0" distR="0">
            <wp:extent cx="1016635" cy="111188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11188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  <mc:AlternateContent>
          <mc:Choice Requires="wps">
            <w:drawing>
              <wp:anchor behindDoc="0" distT="0" distB="0" distL="0" distR="0" simplePos="0" locked="0" layoutInCell="0" allowOverlap="1" relativeHeight="4" wp14:anchorId="7F139A53">
                <wp:simplePos x="0" y="0"/>
                <wp:positionH relativeFrom="column">
                  <wp:posOffset>250190</wp:posOffset>
                </wp:positionH>
                <wp:positionV relativeFrom="paragraph">
                  <wp:posOffset>594360</wp:posOffset>
                </wp:positionV>
                <wp:extent cx="1042670" cy="278130"/>
                <wp:effectExtent l="0" t="0" r="0" b="0"/>
                <wp:wrapNone/>
                <wp:docPr id="2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560" cy="2782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3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Фотография</w:t>
                            </w:r>
                          </w:p>
                        </w:txbxContent>
                      </wps:txbx>
                      <wps:bodyPr lIns="93960" rIns="93960" tIns="48240" bIns="4824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2" path="m0,0l-2147483645,0l-2147483645,-2147483646l0,-2147483646xe" stroked="f" o:allowincell="f" style="position:absolute;margin-left:19.7pt;margin-top:46.8pt;width:82.05pt;height:21.85pt;mso-wrap-style:square;v-text-anchor:top" wp14:anchorId="7F139A53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3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Фотография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Фамилия:</w:t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Имя:</w:t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Отчество:</w:t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Изменялась ли фамилия, имя или отчество, если да, то указать их, а также когда, где и по какой причине:</w:t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Число, месяц и год рождения:</w:t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Место рождения (город, район, область, край, республика):</w:t>
      </w:r>
    </w:p>
    <w:p>
      <w:pPr>
        <w:pStyle w:val="Normal"/>
        <w:pBdr>
          <w:bottom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Гражданство (если изменялось, то указать, когда и по какой причине):</w:t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Семейное положение:</w:t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284" w:leader="none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Адрес регистрации (прописки):</w:t>
      </w:r>
    </w:p>
    <w:p>
      <w:pPr>
        <w:pStyle w:val="Normal"/>
        <w:pBdr>
          <w:bottom w:val="single" w:sz="4" w:space="1" w:color="000000"/>
        </w:pBdr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Адрес фактического места проживания:</w:t>
      </w:r>
    </w:p>
    <w:p>
      <w:pPr>
        <w:pStyle w:val="Normal"/>
        <w:pBdr>
          <w:bottom w:val="single" w:sz="4" w:space="1" w:color="000000"/>
        </w:pBdr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Данные паспорта (серия, номер, кем и когда выдан):</w:t>
      </w:r>
    </w:p>
    <w:p>
      <w:pPr>
        <w:pStyle w:val="Normal"/>
        <w:pBdr>
          <w:bottom w:val="single" w:sz="4" w:space="1" w:color="000000"/>
        </w:pBdr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</w:t>
      </w:r>
    </w:p>
    <w:p>
      <w:pPr>
        <w:pStyle w:val="Normal"/>
        <w:pBdr>
          <w:bottom w:val="single" w:sz="4" w:space="1" w:color="000000"/>
        </w:pBdr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numPr>
          <w:ilvl w:val="1"/>
          <w:numId w:val="8"/>
        </w:numPr>
        <w:pBdr>
          <w:bottom w:val="single" w:sz="4" w:space="1" w:color="000000"/>
        </w:pBdr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Сведения о последнем месте работы (наименование организации, контактный телефон, период работы):</w:t>
      </w:r>
    </w:p>
    <w:p>
      <w:pPr>
        <w:pStyle w:val="Normal"/>
        <w:pBdr>
          <w:bottom w:val="single" w:sz="4" w:space="1" w:color="000000"/>
        </w:pBdr>
        <w:tabs>
          <w:tab w:val="clear" w:pos="708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Я подтверждаю, что вся информация, указанная мною в настоящей анкете, предоставлена добровольно и является достоверной. Мне известно, что в случае предоставления неточных и/или искаженных сведений в настоящей анкете, мне может быть отказано в предоставлении доступа на территорию и объекты Филиала.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Дата</w:t>
        <w:tab/>
        <w:tab/>
        <w:tab/>
        <w:tab/>
        <w:tab/>
        <w:tab/>
        <w:tab/>
        <w:tab/>
        <w:tab/>
        <w:tab/>
        <w:tab/>
      </w:r>
      <w:r>
        <w:rPr>
          <w:sz w:val="24"/>
          <w:szCs w:val="24"/>
          <w:u w:val="single"/>
        </w:rPr>
        <w:t>/Подпись/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 2 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Техническим требованиям 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на оказание услуг по техническому обслуживанию приборов безопасности грузоподъёмных сооружений филиала ПАО "РусГидро"-"Кабардино-Балкарский филиал"</w:t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center"/>
        <w:rPr>
          <w:sz w:val="24"/>
          <w:szCs w:val="24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6" wp14:anchorId="5E087A7F">
                <wp:simplePos x="0" y="0"/>
                <wp:positionH relativeFrom="column">
                  <wp:posOffset>109220</wp:posOffset>
                </wp:positionH>
                <wp:positionV relativeFrom="paragraph">
                  <wp:posOffset>1394460</wp:posOffset>
                </wp:positionV>
                <wp:extent cx="1701165" cy="175260"/>
                <wp:effectExtent l="0" t="0" r="0" b="0"/>
                <wp:wrapNone/>
                <wp:docPr id="4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000" cy="1753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35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720" rIns="720" tIns="720" bIns="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2" path="m0,0l-2147483645,0l-2147483645,-2147483646l0,-2147483646xe" stroked="f" o:allowincell="f" style="position:absolute;margin-left:8.6pt;margin-top:109.8pt;width:133.9pt;height:13.75pt;mso-wrap-style:none;v-text-anchor:middle" wp14:anchorId="5E087A7F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35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8" wp14:anchorId="524ABCED">
                <wp:simplePos x="0" y="0"/>
                <wp:positionH relativeFrom="column">
                  <wp:posOffset>4319270</wp:posOffset>
                </wp:positionH>
                <wp:positionV relativeFrom="paragraph">
                  <wp:posOffset>1395095</wp:posOffset>
                </wp:positionV>
                <wp:extent cx="1701165" cy="175895"/>
                <wp:effectExtent l="0" t="0" r="0" b="0"/>
                <wp:wrapNone/>
                <wp:docPr id="6" name="Врезка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000" cy="176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35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720" rIns="720" tIns="720" bIns="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3" path="m0,0l-2147483645,0l-2147483645,-2147483646l0,-2147483646xe" stroked="f" o:allowincell="f" style="position:absolute;margin-left:340.1pt;margin-top:109.85pt;width:133.9pt;height:13.8pt;mso-wrap-style:none;v-text-anchor:middle" wp14:anchorId="524ABCED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35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b/>
          <w:sz w:val="24"/>
          <w:szCs w:val="24"/>
        </w:rPr>
        <w:t>Согласие на обработку</w:t>
      </w:r>
    </w:p>
    <w:p>
      <w:pPr>
        <w:pStyle w:val="Normal"/>
        <w:numPr>
          <w:ilvl w:val="0"/>
          <w:numId w:val="0"/>
        </w:numPr>
        <w:spacing w:before="0" w:after="1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персональных и иных охраняемых законом данных</w:t>
      </w:r>
    </w:p>
    <w:p>
      <w:pPr>
        <w:pStyle w:val="NoSpacing"/>
        <w:rPr/>
      </w:pPr>
      <w:r>
        <w:rPr/>
        <w:t>Я, __________________________________________________________________________</w:t>
      </w:r>
    </w:p>
    <w:p>
      <w:pPr>
        <w:pStyle w:val="NoSpacing"/>
        <w:jc w:val="center"/>
        <w:rPr/>
      </w:pPr>
      <w:r>
        <w:rPr/>
        <w:t>(полностью фамилия, имя, отчество)</w:t>
      </w:r>
    </w:p>
    <w:p>
      <w:pPr>
        <w:pStyle w:val="NoSpacing"/>
        <w:rPr/>
      </w:pPr>
      <w:r>
        <w:rPr/>
        <w:t>_____________________________________________________________________________</w:t>
      </w:r>
    </w:p>
    <w:p>
      <w:pPr>
        <w:pStyle w:val="NoSpacing"/>
        <w:jc w:val="center"/>
        <w:rPr/>
      </w:pPr>
      <w:r>
        <w:rPr/>
        <w:t>(дата, месяц, год и место рождения)</w:t>
      </w:r>
    </w:p>
    <w:p>
      <w:pPr>
        <w:pStyle w:val="NoSpacing"/>
        <w:rPr/>
      </w:pPr>
      <w:r>
        <w:rPr/>
        <w:t>____________________________________________________________________________,</w:t>
      </w:r>
    </w:p>
    <w:p>
      <w:pPr>
        <w:pStyle w:val="NoSpacing"/>
        <w:jc w:val="center"/>
        <w:rPr/>
      </w:pPr>
      <w:r>
        <w:rPr/>
        <w:t>(основной документ, удостоверяющий личность, серия, номер, дата выдачи, наименование выдавшего органа, кода подразделения)</w:t>
      </w:r>
    </w:p>
    <w:p>
      <w:pPr>
        <w:pStyle w:val="NoSpacing"/>
        <w:rPr/>
      </w:pPr>
      <w:r>
        <w:rPr/>
        <w:t>_____________________________________________________________________________,</w:t>
      </w:r>
    </w:p>
    <w:p>
      <w:pPr>
        <w:pStyle w:val="NoSpacing"/>
        <w:jc w:val="center"/>
        <w:rPr/>
      </w:pPr>
      <w:r>
        <w:rPr/>
        <w:t>(зарегистрированный по адресу)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законодательством Российской Федерации, в том числе Федеральным законом от 27.07.2006 № 152-ФЗ «О персональных данных», я принимаю решение о предоставлении своих персональных данных и своей волей, и в своем интересе даю согласие на их обработку Публичным акционерным обществом «Федеральная гидрогенерирующая компания – РусГидро» (сокращенное наименование: ПАО «РусГидро», место нахождения: Красноярский край, г. Красноярск, ОГРН: 1042401810494, ИНН: 2460066195, КПП: 24600100, далее – Оператор), включая сбор, запись, систематизацию, накопление, хранение, уточнение (обновление, изменение), извлечение, использование, передачу (предоставление или доступ третьим лицам), обезличивание, блокирование и уничтожение. 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Перечень персональных данных, на обработку которых дается согласие</w:t>
      </w:r>
      <w:r>
        <w:rPr>
          <w:sz w:val="24"/>
          <w:szCs w:val="24"/>
        </w:rPr>
        <w:t xml:space="preserve">: фамилия, имя, отчество, год рождения, должность, организация, группа по электробезопасности, фотография, аудио- и видеозаписи. 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Цель обработки персональных данных:</w:t>
      </w:r>
      <w:r>
        <w:rPr>
          <w:sz w:val="24"/>
          <w:szCs w:val="24"/>
        </w:rPr>
        <w:t xml:space="preserve"> использование ПАО «РусГидро» системы видеонаблюдения при проведении вводного инструктажа по охране труда, проведении экспертной оценки знаний работников подрядных организаций, выполнении работ, в целях выявления нарушений требований охраны труда, предупреждения производственного травматизма, повышения ответственности у работников подрядных организаций, выполняющих работы на объектах филиала ПАО «РусГидро» - «Кабардино-Балкарский филиал».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Перечень действий с персональными данными, на совершение которых дается согласие</w:t>
      </w:r>
      <w:r>
        <w:rPr>
          <w:sz w:val="24"/>
          <w:szCs w:val="24"/>
        </w:rPr>
        <w:t>: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 или доступ третьим лицам для достижения вышеуказанных целей), обезличивание, блокирование, удаление, уничтожение персональных данных.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Персональные данные могут обрабатываться как на бумажных носителях, так и в электронном виде согласно Политике обработки персональных данных ПАО «РусГидро», опубликованной на сайте </w:t>
      </w:r>
      <w:hyperlink r:id="rId7">
        <w:r>
          <w:rPr>
            <w:rStyle w:val="Hyperlink"/>
            <w:color w:val="0563C1"/>
            <w:sz w:val="24"/>
            <w:szCs w:val="24"/>
          </w:rPr>
          <w:t>http://www.rushydro.ru</w:t>
        </w:r>
      </w:hyperlink>
      <w:r>
        <w:rPr>
          <w:sz w:val="24"/>
          <w:szCs w:val="24"/>
        </w:rPr>
        <w:t xml:space="preserve">  с которой я ознакомлен(а).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Общее описание используемых Оператором способов обработки персональных данных:</w:t>
      </w:r>
      <w:r>
        <w:rPr>
          <w:sz w:val="24"/>
          <w:szCs w:val="24"/>
        </w:rPr>
        <w:t xml:space="preserve"> Смешанная обработка персональных данных (с использованием средств автоматизации или без использования таких средств). </w:t>
      </w:r>
    </w:p>
    <w:p>
      <w:pPr>
        <w:pStyle w:val="Normal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 уведомлен (а) и согласен (на) с тем, что настоящее согласие может быть отозвано (в случае моего несогласия с дальнейшей обработкой моих персональных данных) путем направления соответствующего уведомления в письменной форме заказным почтовым  отправлением в адрес ПАО «РусГидро», либо вручением такого уведомления лично под роспись уполномоченному представителю ПАО «РусГидро». </w:t>
      </w:r>
    </w:p>
    <w:p>
      <w:pPr>
        <w:pStyle w:val="Normal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Данное согласие действует в течение всего срока хранения информации до дня отзыва в письменной форме. 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ind w:left="851"/>
        <w:rPr/>
      </w:pPr>
      <w:r>
        <w:rPr/>
        <w:t>«_____» ______20____ г.               _________________  /____________________/</w:t>
      </w:r>
    </w:p>
    <w:p>
      <w:pPr>
        <w:pStyle w:val="NoSpacing"/>
        <w:numPr>
          <w:ilvl w:val="0"/>
          <w:numId w:val="0"/>
        </w:numPr>
        <w:jc w:val="center"/>
        <w:outlineLvl w:val="0"/>
        <w:rPr>
          <w:b/>
        </w:rPr>
      </w:pPr>
      <w:r>
        <w:rPr>
          <w:rFonts w:eastAsia="Times New Roman"/>
          <w:b/>
        </w:rPr>
        <w:t xml:space="preserve">                                                                    </w:t>
      </w:r>
      <w:r>
        <w:rPr>
          <w:b/>
        </w:rPr>
        <w:t>(Подпись)                                 (И.О. Фамилия)</w:t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sectPr>
      <w:headerReference w:type="even" r:id="rId8"/>
      <w:headerReference w:type="default" r:id="rId9"/>
      <w:headerReference w:type="first" r:id="rId10"/>
      <w:footerReference w:type="default" r:id="rId11"/>
      <w:footerReference w:type="first" r:id="rId12"/>
      <w:type w:val="nextPage"/>
      <w:pgSz w:w="11906" w:h="16838"/>
      <w:pgMar w:left="1134" w:right="851" w:gutter="0" w:header="680" w:top="851" w:footer="0" w:bottom="992"/>
      <w:pgNumType w:fmt="decimal"/>
      <w:formProt w:val="false"/>
      <w:titlePg/>
      <w:textDirection w:val="lrTb"/>
      <w:docGrid w:type="default" w:linePitch="360" w:charSpace="5734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egoe UI Symbo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PT Sans">
    <w:charset w:val="01"/>
    <w:family w:val="swiss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17</w:t>
    </w:r>
    <w:r>
      <w:rPr/>
      <w:fldChar w:fldCharType="end"/>
    </w:r>
  </w:p>
  <w:p>
    <w:pPr>
      <w:pStyle w:val="Footer"/>
      <w:tabs>
        <w:tab w:val="clear" w:pos="4677"/>
        <w:tab w:val="clear" w:pos="9355"/>
        <w:tab w:val="left" w:pos="8440" w:leader="none"/>
      </w:tabs>
      <w:rPr/>
    </w:pPr>
    <w:r>
      <w:rPr/>
      <w:tab/>
    </w:r>
  </w:p>
  <w:p>
    <w:pPr>
      <w:pStyle w:val="Footer"/>
      <w:tabs>
        <w:tab w:val="clear" w:pos="4677"/>
        <w:tab w:val="clear" w:pos="9355"/>
        <w:tab w:val="left" w:pos="8440" w:leader="none"/>
      </w:tabs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 wp14:anchorId="22C3A24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Врезка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4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22C3A242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17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8"/>
        <w:i w:val="false"/>
        <w:b/>
        <w:szCs w:val="28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9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uiPriority="37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numPr>
        <w:ilvl w:val="0"/>
      </w:numPr>
      <w:ind w:hanging="0" w:left="5038"/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hanging="432" w:left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0d560d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rsid w:val="006c2f3f"/>
    <w:rPr>
      <w:color w:val="0000FF"/>
      <w:u w:val="single"/>
    </w:rPr>
  </w:style>
  <w:style w:type="character" w:styleId="Annotationreference">
    <w:name w:val="annotation reference"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qFormat/>
    <w:rsid w:val="00d22f6d"/>
    <w:rPr>
      <w:sz w:val="28"/>
    </w:rPr>
  </w:style>
  <w:style w:type="character" w:styleId="Style2" w:customStyle="1">
    <w:name w:val="Подзаголовок Знак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sid w:val="00d22f6d"/>
    <w:rPr>
      <w:i/>
      <w:iCs/>
    </w:rPr>
  </w:style>
  <w:style w:type="character" w:styleId="21" w:customStyle="1">
    <w:name w:val="Цитата 2 Знак"/>
    <w:link w:val="Quote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sid w:val="00d22f6d"/>
    <w:rPr>
      <w:i/>
      <w:iCs/>
      <w:color w:val="808080"/>
    </w:rPr>
  </w:style>
  <w:style w:type="character" w:styleId="IntenseEmphasis">
    <w:name w:val="Intense Emphasis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qFormat/>
    <w:rsid w:val="00d22f6d"/>
    <w:rPr>
      <w:smallCaps/>
      <w:color w:val="C0504D"/>
      <w:u w:val="single"/>
    </w:rPr>
  </w:style>
  <w:style w:type="character" w:styleId="IntenseReference">
    <w:name w:val="Intense Reference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1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0d560d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FootnoteCharacters" w:customStyle="1">
    <w:name w:val="Footnote Characters"/>
    <w:qFormat/>
    <w:rsid w:val="000d560d"/>
    <w:rPr>
      <w:vertAlign w:val="superscript"/>
    </w:rPr>
  </w:style>
  <w:style w:type="character" w:styleId="Strong1" w:customStyle="1">
    <w:name w:val="Strong1"/>
    <w:qFormat/>
    <w:rsid w:val="000d560d"/>
    <w:rPr>
      <w:b/>
      <w:bCs/>
    </w:rPr>
  </w:style>
  <w:style w:type="character" w:styleId="EndnoteCharacters" w:customStyle="1">
    <w:name w:val="Endnote Characters"/>
    <w:basedOn w:val="DefaultParagraphFont"/>
    <w:qFormat/>
    <w:rsid w:val="000d560d"/>
    <w:rPr>
      <w:vertAlign w:val="superscript"/>
    </w:rPr>
  </w:style>
  <w:style w:type="character" w:styleId="Style14" w:customStyle="1">
    <w:name w:val="Ссылка указателя"/>
    <w:qFormat/>
    <w:rsid w:val="000d560d"/>
    <w:rPr/>
  </w:style>
  <w:style w:type="character" w:styleId="WW8Num6z0" w:customStyle="1">
    <w:name w:val="WW8Num6z0"/>
    <w:qFormat/>
    <w:rsid w:val="000d560d"/>
    <w:rPr/>
  </w:style>
  <w:style w:type="character" w:styleId="WW8Num2z0" w:customStyle="1">
    <w:name w:val="WW8Num2z0"/>
    <w:qFormat/>
    <w:rsid w:val="000d560d"/>
    <w:rPr>
      <w:rFonts w:ascii="Symbol" w:hAnsi="Symbol" w:cs="Symbol"/>
    </w:rPr>
  </w:style>
  <w:style w:type="character" w:styleId="WW8Num5z1" w:customStyle="1">
    <w:name w:val="WW8Num5z1"/>
    <w:qFormat/>
    <w:rsid w:val="000d560d"/>
    <w:rPr>
      <w:sz w:val="24"/>
      <w:szCs w:val="24"/>
    </w:rPr>
  </w:style>
  <w:style w:type="character" w:styleId="WW8Num9z0" w:customStyle="1">
    <w:name w:val="WW8Num9z0"/>
    <w:qFormat/>
    <w:rsid w:val="000d560d"/>
    <w:rPr>
      <w:b w:val="false"/>
      <w:i w:val="false"/>
      <w:strike w:val="false"/>
      <w:dstrike w:val="false"/>
      <w:color w:val="auto"/>
      <w:sz w:val="28"/>
      <w:szCs w:val="28"/>
    </w:rPr>
  </w:style>
  <w:style w:type="character" w:styleId="WW8Num9z1" w:customStyle="1">
    <w:name w:val="WW8Num9z1"/>
    <w:qFormat/>
    <w:rsid w:val="000d560d"/>
    <w:rPr>
      <w:b w:val="false"/>
      <w:color w:val="auto"/>
      <w:sz w:val="28"/>
      <w:szCs w:val="28"/>
    </w:rPr>
  </w:style>
  <w:style w:type="character" w:styleId="WW8Num9z2" w:customStyle="1">
    <w:name w:val="WW8Num9z2"/>
    <w:qFormat/>
    <w:rsid w:val="000d560d"/>
    <w:rPr>
      <w:sz w:val="28"/>
      <w:szCs w:val="28"/>
    </w:rPr>
  </w:style>
  <w:style w:type="character" w:styleId="WW8Num9z3" w:customStyle="1">
    <w:name w:val="WW8Num9z3"/>
    <w:qFormat/>
    <w:rsid w:val="000d560d"/>
    <w:rPr>
      <w:sz w:val="28"/>
    </w:rPr>
  </w:style>
  <w:style w:type="character" w:styleId="WW8Num11z0" w:customStyle="1">
    <w:name w:val="WW8Num11z0"/>
    <w:qFormat/>
    <w:rsid w:val="000d560d"/>
    <w:rPr>
      <w:rFonts w:ascii="Symbol" w:hAnsi="Symbol" w:cs="Symbol"/>
    </w:rPr>
  </w:style>
  <w:style w:type="character" w:styleId="WW8Num11z1" w:customStyle="1">
    <w:name w:val="WW8Num11z1"/>
    <w:qFormat/>
    <w:rsid w:val="000d560d"/>
    <w:rPr>
      <w:rFonts w:ascii="Courier New" w:hAnsi="Courier New" w:cs="Courier New"/>
    </w:rPr>
  </w:style>
  <w:style w:type="character" w:styleId="WW8Num11z2" w:customStyle="1">
    <w:name w:val="WW8Num11z2"/>
    <w:qFormat/>
    <w:rsid w:val="000d560d"/>
    <w:rPr>
      <w:rFonts w:ascii="Wingdings" w:hAnsi="Wingdings" w:cs="Wingdings"/>
    </w:rPr>
  </w:style>
  <w:style w:type="character" w:styleId="WW8Num12z0" w:customStyle="1">
    <w:name w:val="WW8Num12z0"/>
    <w:qFormat/>
    <w:rsid w:val="000d560d"/>
    <w:rPr>
      <w:rFonts w:ascii="Symbol" w:hAnsi="Symbol" w:cs="Symbol"/>
      <w:color w:val="000000"/>
    </w:rPr>
  </w:style>
  <w:style w:type="character" w:styleId="WW8Num12z1" w:customStyle="1">
    <w:name w:val="WW8Num12z1"/>
    <w:qFormat/>
    <w:rsid w:val="000d560d"/>
    <w:rPr>
      <w:rFonts w:ascii="Courier New" w:hAnsi="Courier New" w:cs="Courier New"/>
    </w:rPr>
  </w:style>
  <w:style w:type="character" w:styleId="WW8Num12z2" w:customStyle="1">
    <w:name w:val="WW8Num12z2"/>
    <w:qFormat/>
    <w:rsid w:val="000d560d"/>
    <w:rPr>
      <w:rFonts w:ascii="Wingdings" w:hAnsi="Wingdings" w:cs="Wingdings"/>
    </w:rPr>
  </w:style>
  <w:style w:type="character" w:styleId="WW8Num12z3" w:customStyle="1">
    <w:name w:val="WW8Num12z3"/>
    <w:qFormat/>
    <w:rsid w:val="000d560d"/>
    <w:rPr>
      <w:rFonts w:ascii="Symbol" w:hAnsi="Symbol" w:cs="Symbol"/>
    </w:rPr>
  </w:style>
  <w:style w:type="character" w:styleId="WW8Num14z0" w:customStyle="1">
    <w:name w:val="WW8Num14z0"/>
    <w:qFormat/>
    <w:rsid w:val="000d560d"/>
    <w:rPr>
      <w:rFonts w:ascii="Symbol" w:hAnsi="Symbol" w:cs="Symbol"/>
    </w:rPr>
  </w:style>
  <w:style w:type="character" w:styleId="WW8Num15z0" w:customStyle="1">
    <w:name w:val="WW8Num15z0"/>
    <w:qFormat/>
    <w:rsid w:val="000d560d"/>
    <w:rPr>
      <w:rFonts w:ascii="Arial" w:hAnsi="Arial" w:cs="Arial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character" w:styleId="WW8Num15z1" w:customStyle="1">
    <w:name w:val="WW8Num15z1"/>
    <w:qFormat/>
    <w:rsid w:val="000d560d"/>
    <w:rPr>
      <w:rFonts w:ascii="Segoe UI Symbol" w:hAnsi="Segoe UI Symbol" w:cs="Segoe UI Symbol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character" w:styleId="WW8Num17z0" w:customStyle="1">
    <w:name w:val="WW8Num17z0"/>
    <w:qFormat/>
    <w:rsid w:val="000d560d"/>
    <w:rPr>
      <w:rFonts w:ascii="Symbol" w:hAnsi="Symbol" w:cs="Symbol"/>
    </w:rPr>
  </w:style>
  <w:style w:type="character" w:styleId="WW8Num17z1" w:customStyle="1">
    <w:name w:val="WW8Num17z1"/>
    <w:qFormat/>
    <w:rsid w:val="000d560d"/>
    <w:rPr>
      <w:rFonts w:ascii="Courier New" w:hAnsi="Courier New" w:cs="Courier New"/>
    </w:rPr>
  </w:style>
  <w:style w:type="character" w:styleId="WW8Num17z2" w:customStyle="1">
    <w:name w:val="WW8Num17z2"/>
    <w:qFormat/>
    <w:rsid w:val="000d560d"/>
    <w:rPr>
      <w:rFonts w:ascii="Wingdings" w:hAnsi="Wingdings" w:cs="Wingdings"/>
    </w:rPr>
  </w:style>
  <w:style w:type="character" w:styleId="WW8Num18z0" w:customStyle="1">
    <w:name w:val="WW8Num18z0"/>
    <w:qFormat/>
    <w:rsid w:val="000d560d"/>
    <w:rPr>
      <w:b w:val="false"/>
      <w:i w:val="false"/>
      <w:strike w:val="false"/>
      <w:dstrike w:val="false"/>
      <w:color w:val="auto"/>
      <w:sz w:val="28"/>
      <w:szCs w:val="28"/>
    </w:rPr>
  </w:style>
  <w:style w:type="character" w:styleId="WW8Num18z1" w:customStyle="1">
    <w:name w:val="WW8Num18z1"/>
    <w:qFormat/>
    <w:rsid w:val="000d560d"/>
    <w:rPr>
      <w:b w:val="false"/>
      <w:color w:val="auto"/>
      <w:sz w:val="28"/>
      <w:szCs w:val="28"/>
    </w:rPr>
  </w:style>
  <w:style w:type="character" w:styleId="WW8Num18z2" w:customStyle="1">
    <w:name w:val="WW8Num18z2"/>
    <w:qFormat/>
    <w:rsid w:val="000d560d"/>
    <w:rPr>
      <w:sz w:val="28"/>
      <w:szCs w:val="28"/>
    </w:rPr>
  </w:style>
  <w:style w:type="character" w:styleId="WW8Num18z3" w:customStyle="1">
    <w:name w:val="WW8Num18z3"/>
    <w:qFormat/>
    <w:rsid w:val="000d560d"/>
    <w:rPr>
      <w:sz w:val="28"/>
    </w:rPr>
  </w:style>
  <w:style w:type="character" w:styleId="WW8Num19z0" w:customStyle="1">
    <w:name w:val="WW8Num19z0"/>
    <w:qFormat/>
    <w:rsid w:val="000d560d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9z1" w:customStyle="1">
    <w:name w:val="WW8Num19z1"/>
    <w:qFormat/>
    <w:rsid w:val="000d560d"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character" w:styleId="WW8Num20z0" w:customStyle="1">
    <w:name w:val="WW8Num20z0"/>
    <w:qFormat/>
    <w:rsid w:val="000d560d"/>
    <w:rPr>
      <w:rFonts w:ascii="Arial" w:hAnsi="Arial" w:cs="Arial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character" w:styleId="WW8Num20z1" w:customStyle="1">
    <w:name w:val="WW8Num20z1"/>
    <w:qFormat/>
    <w:rsid w:val="000d560d"/>
    <w:rPr>
      <w:rFonts w:ascii="Segoe UI Symbol" w:hAnsi="Segoe UI Symbol" w:cs="Segoe UI Symbol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character" w:styleId="WW8Num21z0" w:customStyle="1">
    <w:name w:val="WW8Num21z0"/>
    <w:qFormat/>
    <w:rsid w:val="000d560d"/>
    <w:rPr>
      <w:rFonts w:ascii="Arial" w:hAnsi="Arial" w:cs="Arial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character" w:styleId="WW8Num21z1" w:customStyle="1">
    <w:name w:val="WW8Num21z1"/>
    <w:qFormat/>
    <w:rsid w:val="000d560d"/>
    <w:rPr>
      <w:rFonts w:ascii="Segoe UI Symbol" w:hAnsi="Segoe UI Symbol" w:cs="Segoe UI Symbol"/>
      <w:b w:val="false"/>
      <w:i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character" w:styleId="WW8Num22z0" w:customStyle="1">
    <w:name w:val="WW8Num22z0"/>
    <w:qFormat/>
    <w:rsid w:val="000d560d"/>
    <w:rPr>
      <w:rFonts w:ascii="Times New Roman" w:hAnsi="Times New Roman" w:eastAsia="Times New Roman" w:cs="Times New Roman"/>
      <w:b/>
      <w:bCs/>
      <w:i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character" w:styleId="WW8Num22z1" w:customStyle="1">
    <w:name w:val="WW8Num22z1"/>
    <w:qFormat/>
    <w:rsid w:val="000d560d"/>
    <w:rPr>
      <w:rFonts w:ascii="Times New Roman" w:hAnsi="Times New Roman" w:eastAsia="Times New Roman" w:cs="Times New Roman"/>
      <w:b/>
      <w:bCs/>
      <w:i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character" w:styleId="Style15" w:customStyle="1">
    <w:name w:val="Маркеры"/>
    <w:qFormat/>
    <w:rsid w:val="000d560d"/>
    <w:rPr>
      <w:rFonts w:ascii="OpenSymbol" w:hAnsi="OpenSymbol" w:eastAsia="OpenSymbol" w:cs="OpenSymbol"/>
    </w:rPr>
  </w:style>
  <w:style w:type="character" w:styleId="Style16" w:customStyle="1">
    <w:name w:val="Заголовок Знак"/>
    <w:basedOn w:val="DefaultParagraphFont"/>
    <w:qFormat/>
    <w:rsid w:val="000d560d"/>
    <w:rPr>
      <w:rFonts w:ascii="Liberation Sans" w:hAnsi="Liberation Sans" w:eastAsia="Arial Unicode MS" w:cs="Arial Unicode MS"/>
      <w:sz w:val="28"/>
      <w:szCs w:val="28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Sans" w:hAnsi="PT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rsid w:val="000d560d"/>
    <w:pPr>
      <w:widowControl w:val="false"/>
    </w:pPr>
    <w:rPr>
      <w:sz w:val="20"/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Style16"/>
    <w:qFormat/>
    <w:rsid w:val="000d560d"/>
    <w:pPr>
      <w:keepNext w:val="true"/>
      <w:widowControl w:val="fals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Style1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0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qFormat/>
    <w:rsid w:val="00bd4014"/>
    <w:pPr>
      <w:jc w:val="center"/>
    </w:pPr>
    <w:rPr>
      <w:szCs w:val="20"/>
      <w:lang w:val="x-none" w:eastAsia="x-none"/>
    </w:rPr>
  </w:style>
  <w:style w:type="paragraph" w:styleId="Style22" w:customStyle="1">
    <w:name w:val="Колонтитул"/>
    <w:basedOn w:val="Normal"/>
    <w:qFormat/>
    <w:rsid w:val="000d560d"/>
    <w:pPr>
      <w:widowControl w:val="false"/>
    </w:pPr>
    <w:rPr>
      <w:sz w:val="20"/>
      <w:szCs w:val="20"/>
    </w:rPr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hanging="1134" w:left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hanging="1134" w:left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rsid w:val="006b6b70"/>
    <w:pPr>
      <w:ind w:left="28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rsid w:val="00e228fa"/>
    <w:pPr/>
    <w:rPr/>
  </w:style>
  <w:style w:type="paragraph" w:styleId="Style25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rsid w:val="00f57628"/>
    <w:pPr>
      <w:ind w:left="196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rsid w:val="00f57628"/>
    <w:pPr>
      <w:ind w:left="84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rsid w:val="006b6b70"/>
    <w:pPr>
      <w:tabs>
        <w:tab w:val="clear" w:pos="708"/>
        <w:tab w:val="left" w:pos="1120" w:leader="none"/>
        <w:tab w:val="right" w:pos="9911" w:leader="none"/>
      </w:tabs>
      <w:ind w:left="56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rsid w:val="00d22f6d"/>
    <w:pPr>
      <w:numPr>
        <w:ilvl w:val="1"/>
      </w:numPr>
      <w:ind w:firstLine="709" w:left="1066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rsid w:val="00d22f6d"/>
    <w:pPr>
      <w:spacing w:before="0" w:after="0"/>
      <w:ind w:left="72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7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rsid w:val="00d22f6d"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0" w:customStyle="1">
    <w:name w:val="Таблица шапка"/>
    <w:basedOn w:val="Normal"/>
    <w:qFormat/>
    <w:rsid w:val="00f64089"/>
    <w:pPr>
      <w:keepNext w:val="true"/>
      <w:spacing w:before="40" w:after="40"/>
      <w:ind w:left="57" w:right="57"/>
    </w:pPr>
    <w:rPr>
      <w:sz w:val="22"/>
      <w:szCs w:val="26"/>
    </w:rPr>
  </w:style>
  <w:style w:type="paragraph" w:styleId="Style31" w:customStyle="1">
    <w:name w:val="Подподпункт"/>
    <w:basedOn w:val="Style23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hanging="567" w:left="5104"/>
    </w:pPr>
    <w:rPr>
      <w:sz w:val="26"/>
      <w:szCs w:val="26"/>
      <w:lang w:val="ru-RU" w:eastAsia="ru-RU"/>
    </w:rPr>
  </w:style>
  <w:style w:type="paragraph" w:styleId="Style32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hanging="567" w:left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4" w:customStyle="1">
    <w:name w:val="Таблица текст"/>
    <w:basedOn w:val="Normal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NormalWeb">
    <w:name w:val="Normal (Web)"/>
    <w:basedOn w:val="Normal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qFormat/>
    <w:rsid w:val="000d560d"/>
    <w:pPr>
      <w:ind w:hanging="280" w:left="280"/>
    </w:pPr>
    <w:rPr/>
  </w:style>
  <w:style w:type="paragraph" w:styleId="Indexheading11" w:customStyle="1">
    <w:name w:val="index heading11"/>
    <w:basedOn w:val="Title"/>
    <w:qFormat/>
    <w:rsid w:val="000d560d"/>
    <w:pPr/>
    <w:rPr/>
  </w:style>
  <w:style w:type="paragraph" w:styleId="Caption111" w:customStyle="1">
    <w:name w:val="caption111"/>
    <w:basedOn w:val="Normal"/>
    <w:qFormat/>
    <w:rsid w:val="000d560d"/>
    <w:pPr>
      <w:widowControl w:val="false"/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rsid w:val="000d560d"/>
    <w:pPr/>
    <w:rPr/>
  </w:style>
  <w:style w:type="paragraph" w:styleId="Caption1111" w:customStyle="1">
    <w:name w:val="caption1111"/>
    <w:basedOn w:val="Normal"/>
    <w:qFormat/>
    <w:rsid w:val="000d560d"/>
    <w:pPr>
      <w:widowControl w:val="false"/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rsid w:val="000d560d"/>
    <w:pPr/>
    <w:rPr/>
  </w:style>
  <w:style w:type="paragraph" w:styleId="Caption11111" w:customStyle="1">
    <w:name w:val="caption11111"/>
    <w:basedOn w:val="Normal"/>
    <w:qFormat/>
    <w:rsid w:val="000d560d"/>
    <w:pPr>
      <w:widowControl w:val="false"/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rsid w:val="000d560d"/>
    <w:pPr/>
    <w:rPr/>
  </w:style>
  <w:style w:type="paragraph" w:styleId="Caption111111" w:customStyle="1">
    <w:name w:val="caption111111"/>
    <w:basedOn w:val="Normal"/>
    <w:qFormat/>
    <w:rsid w:val="000d560d"/>
    <w:pPr>
      <w:widowControl w:val="false"/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rsid w:val="000d560d"/>
    <w:pPr/>
    <w:rPr/>
  </w:style>
  <w:style w:type="paragraph" w:styleId="Caption1111111" w:customStyle="1">
    <w:name w:val="caption1111111"/>
    <w:basedOn w:val="Normal"/>
    <w:qFormat/>
    <w:rsid w:val="000d560d"/>
    <w:pPr>
      <w:widowControl w:val="false"/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rsid w:val="000d560d"/>
    <w:pPr/>
    <w:rPr/>
  </w:style>
  <w:style w:type="paragraph" w:styleId="Caption11111111" w:customStyle="1">
    <w:name w:val="caption11111111"/>
    <w:basedOn w:val="Normal"/>
    <w:qFormat/>
    <w:rsid w:val="000d560d"/>
    <w:pPr>
      <w:widowControl w:val="false"/>
      <w:suppressLineNumbers/>
      <w:spacing w:before="120" w:after="120"/>
    </w:pPr>
    <w:rPr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rsid w:val="000d560d"/>
    <w:pPr/>
    <w:rPr/>
  </w:style>
  <w:style w:type="paragraph" w:styleId="Caption111111111" w:customStyle="1">
    <w:name w:val="caption111111111"/>
    <w:basedOn w:val="Normal"/>
    <w:qFormat/>
    <w:rsid w:val="000d560d"/>
    <w:pPr>
      <w:widowControl w:val="false"/>
      <w:suppressLineNumbers/>
      <w:spacing w:before="120" w:after="120"/>
    </w:pPr>
    <w:rPr>
      <w:i/>
      <w:iCs/>
      <w:sz w:val="24"/>
      <w:szCs w:val="24"/>
    </w:rPr>
  </w:style>
  <w:style w:type="paragraph" w:styleId="Indexheading111111111" w:customStyle="1">
    <w:name w:val="index heading111111111"/>
    <w:basedOn w:val="Title"/>
    <w:qFormat/>
    <w:rsid w:val="000d560d"/>
    <w:pPr/>
    <w:rPr/>
  </w:style>
  <w:style w:type="paragraph" w:styleId="Caption1111111111" w:customStyle="1">
    <w:name w:val="caption1111111111"/>
    <w:basedOn w:val="Normal"/>
    <w:next w:val="Normal"/>
    <w:qFormat/>
    <w:rsid w:val="000d560d"/>
    <w:pPr>
      <w:widowControl w:val="false"/>
    </w:pPr>
    <w:rPr>
      <w:rFonts w:eastAsia="Calibri"/>
      <w:b/>
      <w:bCs/>
      <w:color w:val="4F81BD"/>
      <w:sz w:val="18"/>
      <w:szCs w:val="18"/>
    </w:rPr>
  </w:style>
  <w:style w:type="paragraph" w:styleId="ListBullet41" w:customStyle="1">
    <w:name w:val="List Bullet 41"/>
    <w:basedOn w:val="Normal"/>
    <w:qFormat/>
    <w:rsid w:val="000d560d"/>
    <w:pPr>
      <w:widowControl w:val="false"/>
      <w:tabs>
        <w:tab w:val="clear" w:pos="708"/>
        <w:tab w:val="left" w:pos="0" w:leader="none"/>
      </w:tabs>
      <w:spacing w:before="120" w:after="0"/>
      <w:ind w:hanging="360" w:left="-207"/>
      <w:jc w:val="both"/>
    </w:pPr>
    <w:rPr>
      <w:rFonts w:ascii="Garamond" w:hAnsi="Garamond"/>
      <w:sz w:val="24"/>
      <w:szCs w:val="20"/>
    </w:rPr>
  </w:style>
  <w:style w:type="paragraph" w:styleId="19" w:customStyle="1">
    <w:name w:val="Знак Знак1 Знак"/>
    <w:basedOn w:val="Normal"/>
    <w:qFormat/>
    <w:rsid w:val="000d560d"/>
    <w:pPr>
      <w:widowControl w:val="false"/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35" w:customStyle="1">
    <w:name w:val="Содержимое врезки"/>
    <w:basedOn w:val="Normal"/>
    <w:qFormat/>
    <w:rsid w:val="000d560d"/>
    <w:pPr>
      <w:widowControl w:val="false"/>
    </w:pPr>
    <w:rPr>
      <w:sz w:val="20"/>
      <w:szCs w:val="20"/>
    </w:rPr>
  </w:style>
  <w:style w:type="paragraph" w:styleId="110" w:customStyle="1">
    <w:name w:val="Основной текст1"/>
    <w:basedOn w:val="Normal"/>
    <w:qFormat/>
    <w:rsid w:val="000d560d"/>
    <w:pPr>
      <w:widowControl w:val="false"/>
      <w:shd w:val="clear" w:color="auto" w:fill="FFFFFF"/>
      <w:spacing w:lineRule="exact" w:line="302"/>
    </w:pPr>
    <w:rPr>
      <w:sz w:val="20"/>
      <w:szCs w:val="20"/>
    </w:rPr>
  </w:style>
  <w:style w:type="paragraph" w:styleId="Style36" w:customStyle="1">
    <w:name w:val="Содержимое таблицы"/>
    <w:basedOn w:val="Normal"/>
    <w:qFormat/>
    <w:rsid w:val="000d560d"/>
    <w:pPr>
      <w:widowControl w:val="false"/>
      <w:suppressLineNumbers/>
    </w:pPr>
    <w:rPr>
      <w:sz w:val="20"/>
      <w:szCs w:val="20"/>
    </w:rPr>
  </w:style>
  <w:style w:type="paragraph" w:styleId="ConsPlusTitle" w:customStyle="1">
    <w:name w:val="ConsPlusTitle"/>
    <w:qFormat/>
    <w:rsid w:val="000d560d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新細明體" w:cs="Arial" w:eastAsiaTheme="minorEastAsia"/>
      <w:b/>
      <w:bCs/>
      <w:color w:val="auto"/>
      <w:kern w:val="0"/>
      <w:sz w:val="24"/>
      <w:szCs w:val="24"/>
      <w:lang w:val="ru-RU" w:eastAsia="ru-RU" w:bidi="ar-SA"/>
    </w:rPr>
  </w:style>
  <w:style w:type="paragraph" w:styleId="Style37" w:customStyle="1">
    <w:name w:val="Заголовок таблицы"/>
    <w:basedOn w:val="Style36"/>
    <w:qFormat/>
    <w:rsid w:val="000d560d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9" w:customStyle="1">
    <w:name w:val="Стиль2"/>
    <w:qFormat/>
    <w:rsid w:val="006629c9"/>
  </w:style>
  <w:style w:type="numbering" w:styleId="112" w:customStyle="1">
    <w:name w:val="Стиль11"/>
    <w:qFormat/>
    <w:rsid w:val="000d560d"/>
  </w:style>
  <w:style w:type="numbering" w:styleId="WW8Num6" w:customStyle="1">
    <w:name w:val="WW8Num6"/>
    <w:qFormat/>
    <w:rsid w:val="000d560d"/>
  </w:style>
  <w:style w:type="numbering" w:styleId="WW8Num8" w:customStyle="1">
    <w:name w:val="WW8Num8"/>
    <w:qFormat/>
    <w:rsid w:val="000d560d"/>
  </w:style>
  <w:style w:type="numbering" w:styleId="WW8Num2" w:customStyle="1">
    <w:name w:val="WW8Num2"/>
    <w:qFormat/>
    <w:rsid w:val="000d560d"/>
  </w:style>
  <w:style w:type="numbering" w:styleId="WW8Num4" w:customStyle="1">
    <w:name w:val="WW8Num4"/>
    <w:qFormat/>
    <w:rsid w:val="000d560d"/>
  </w:style>
  <w:style w:type="numbering" w:styleId="WW8Num5" w:customStyle="1">
    <w:name w:val="WW8Num5"/>
    <w:qFormat/>
    <w:rsid w:val="000d560d"/>
  </w:style>
  <w:style w:type="numbering" w:styleId="WW8Num3" w:customStyle="1">
    <w:name w:val="WW8Num3"/>
    <w:qFormat/>
    <w:rsid w:val="000d560d"/>
  </w:style>
  <w:style w:type="numbering" w:styleId="WW8Num9" w:customStyle="1">
    <w:name w:val="WW8Num9"/>
    <w:qFormat/>
    <w:rsid w:val="000d560d"/>
  </w:style>
  <w:style w:type="numbering" w:styleId="WW8Num10" w:customStyle="1">
    <w:name w:val="WW8Num10"/>
    <w:qFormat/>
    <w:rsid w:val="000d560d"/>
  </w:style>
  <w:style w:type="numbering" w:styleId="WW8Num11" w:customStyle="1">
    <w:name w:val="WW8Num11"/>
    <w:qFormat/>
    <w:rsid w:val="000d560d"/>
  </w:style>
  <w:style w:type="numbering" w:styleId="WW8Num12" w:customStyle="1">
    <w:name w:val="WW8Num12"/>
    <w:qFormat/>
    <w:rsid w:val="000d560d"/>
  </w:style>
  <w:style w:type="numbering" w:styleId="WW8Num13" w:customStyle="1">
    <w:name w:val="WW8Num13"/>
    <w:qFormat/>
    <w:rsid w:val="000d560d"/>
  </w:style>
  <w:style w:type="numbering" w:styleId="WW8Num14" w:customStyle="1">
    <w:name w:val="WW8Num14"/>
    <w:qFormat/>
    <w:rsid w:val="000d560d"/>
  </w:style>
  <w:style w:type="numbering" w:styleId="WW8Num15" w:customStyle="1">
    <w:name w:val="WW8Num15"/>
    <w:qFormat/>
    <w:rsid w:val="000d560d"/>
  </w:style>
  <w:style w:type="numbering" w:styleId="WW8Num16" w:customStyle="1">
    <w:name w:val="WW8Num16"/>
    <w:qFormat/>
    <w:rsid w:val="000d560d"/>
  </w:style>
  <w:style w:type="numbering" w:styleId="WW8Num17" w:customStyle="1">
    <w:name w:val="WW8Num17"/>
    <w:qFormat/>
    <w:rsid w:val="000d560d"/>
  </w:style>
  <w:style w:type="numbering" w:styleId="WW8Num18" w:customStyle="1">
    <w:name w:val="WW8Num18"/>
    <w:qFormat/>
    <w:rsid w:val="000d560d"/>
  </w:style>
  <w:style w:type="numbering" w:styleId="WW8Num19" w:customStyle="1">
    <w:name w:val="WW8Num19"/>
    <w:qFormat/>
    <w:rsid w:val="000d560d"/>
  </w:style>
  <w:style w:type="numbering" w:styleId="WW8Num20" w:customStyle="1">
    <w:name w:val="WW8Num20"/>
    <w:qFormat/>
    <w:rsid w:val="000d560d"/>
  </w:style>
  <w:style w:type="numbering" w:styleId="WW8Num21" w:customStyle="1">
    <w:name w:val="WW8Num21"/>
    <w:qFormat/>
    <w:rsid w:val="000d560d"/>
  </w:style>
  <w:style w:type="numbering" w:styleId="WW8Num22" w:customStyle="1">
    <w:name w:val="WW8Num22"/>
    <w:qFormat/>
    <w:rsid w:val="000d560d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9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e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image" Target="media/image1.jpeg"/><Relationship Id="rId7" Type="http://schemas.openxmlformats.org/officeDocument/2006/relationships/hyperlink" Target="http://www.rushydro.ru/" TargetMode="Externa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header" Target="header7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<Relationship Id="rId1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A1F63-E7D1-4338-A456-00755311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Application>AlterOffice/2026.2.0.0$Linux_X86_64 LibreOffice_project/bc4ef1adf80b36c7a6365f8ed6cbf29021361edd</Application>
  <AppVersion>15.0000</AppVersion>
  <Pages>18</Pages>
  <Words>3079</Words>
  <Characters>21297</Characters>
  <CharactersWithSpaces>24145</CharactersWithSpaces>
  <Paragraphs>409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2026-01-26T07:07:00Z</dcterms:created>
  <dc:creator>Быстров Олег Геннадьевич</dc:creator>
  <dc:description/>
  <dc:language>ru-RU</dc:language>
  <cp:lastModifiedBy>velikosvyatnn@corp.gidroogk.com</cp:lastModifiedBy>
  <cp:lastPrinted>2026-03-02T05:24:00Z</cp:lastPrinted>
  <dcterms:modified xsi:type="dcterms:W3CDTF">2026-07-02T08:32:19Z</dcterms:modified>
  <cp:revision>45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